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720" w:firstLineChars="200"/>
        <w:jc w:val="center"/>
        <w:rPr>
          <w:rFonts w:ascii="华文中宋" w:hAnsi="华文中宋" w:eastAsia="华文中宋"/>
          <w:bCs/>
          <w:sz w:val="36"/>
          <w:szCs w:val="36"/>
        </w:rPr>
      </w:pPr>
      <w:r>
        <w:rPr>
          <w:rFonts w:hint="eastAsia" w:ascii="华文中宋" w:hAnsi="华文中宋" w:eastAsia="华文中宋"/>
          <w:bCs/>
          <w:sz w:val="36"/>
          <w:szCs w:val="36"/>
        </w:rPr>
        <w:t>富海集团有限公司校园招聘简章</w:t>
      </w:r>
    </w:p>
    <w:p>
      <w:pPr>
        <w:spacing w:line="300" w:lineRule="exact"/>
        <w:ind w:firstLine="720" w:firstLineChars="200"/>
        <w:jc w:val="center"/>
        <w:rPr>
          <w:rFonts w:ascii="华文中宋" w:hAnsi="华文中宋" w:eastAsia="华文中宋"/>
          <w:bCs/>
          <w:sz w:val="36"/>
          <w:szCs w:val="36"/>
        </w:rPr>
      </w:pPr>
    </w:p>
    <w:p>
      <w:pPr>
        <w:spacing w:line="560" w:lineRule="exact"/>
        <w:ind w:firstLine="600" w:firstLineChars="200"/>
        <w:rPr>
          <w:rFonts w:ascii="黑体" w:eastAsia="黑体"/>
          <w:bCs/>
          <w:sz w:val="30"/>
          <w:szCs w:val="30"/>
        </w:rPr>
      </w:pPr>
      <w:r>
        <w:rPr>
          <w:rFonts w:hint="eastAsia" w:ascii="黑体" w:eastAsia="黑体"/>
          <w:bCs/>
          <w:sz w:val="30"/>
          <w:szCs w:val="30"/>
        </w:rPr>
        <w:t>一、集团简介</w:t>
      </w:r>
    </w:p>
    <w:p>
      <w:pPr>
        <w:topLinePunct/>
        <w:spacing w:line="560" w:lineRule="exact"/>
        <w:ind w:firstLine="600" w:firstLineChars="200"/>
        <w:rPr>
          <w:rFonts w:ascii="仿宋_GB2312" w:hAnsi="宋体" w:eastAsia="仿宋_GB2312"/>
          <w:sz w:val="30"/>
          <w:szCs w:val="30"/>
        </w:rPr>
      </w:pPr>
      <w:r>
        <w:rPr>
          <w:rFonts w:hint="eastAsia" w:ascii="仿宋_GB2312" w:eastAsia="仿宋_GB2312"/>
          <w:sz w:val="30"/>
          <w:szCs w:val="30"/>
        </w:rPr>
        <w:t>富海集团有限公司成立于</w:t>
      </w:r>
      <w:r>
        <w:rPr>
          <w:rFonts w:hint="eastAsia" w:ascii="仿宋_GB2312" w:hAnsi="宋体" w:eastAsia="仿宋_GB2312"/>
          <w:sz w:val="30"/>
          <w:szCs w:val="30"/>
        </w:rPr>
        <w:t>1998年3月18日，</w:t>
      </w:r>
      <w:r>
        <w:rPr>
          <w:rFonts w:hint="eastAsia" w:ascii="仿宋_GB2312" w:eastAsia="仿宋_GB2312"/>
          <w:sz w:val="30"/>
          <w:szCs w:val="30"/>
        </w:rPr>
        <w:t>注册资本金</w:t>
      </w:r>
      <w:r>
        <w:rPr>
          <w:rFonts w:hint="eastAsia" w:ascii="仿宋_GB2312" w:hAnsi="宋体" w:eastAsia="仿宋_GB2312"/>
          <w:kern w:val="0"/>
          <w:sz w:val="30"/>
          <w:szCs w:val="30"/>
        </w:rPr>
        <w:t>5.201亿元，资产规模200余亿元，</w:t>
      </w:r>
      <w:r>
        <w:rPr>
          <w:rFonts w:hint="eastAsia" w:ascii="仿宋_GB2312" w:hAnsi="宋体" w:eastAsia="仿宋_GB2312"/>
          <w:sz w:val="30"/>
          <w:szCs w:val="30"/>
        </w:rPr>
        <w:t>总部</w:t>
      </w:r>
      <w:r>
        <w:rPr>
          <w:rFonts w:hint="eastAsia" w:ascii="仿宋_GB2312" w:eastAsia="仿宋_GB2312"/>
          <w:sz w:val="30"/>
          <w:szCs w:val="30"/>
        </w:rPr>
        <w:t>位于美丽富饶的中国黄河三角洲，是一家集</w:t>
      </w:r>
      <w:r>
        <w:rPr>
          <w:rFonts w:hint="eastAsia" w:ascii="仿宋_GB2312" w:hAnsi="宋体" w:eastAsia="仿宋_GB2312"/>
          <w:sz w:val="30"/>
          <w:szCs w:val="30"/>
        </w:rPr>
        <w:t>石油化工、煤化工、房地产开发、物流运输、物业管理、新能源开发、产品连锁营销于一体的综合性民营企业。集团自成立以来，先后荣获“山东省工商系统诚信纳税企业”、“山东省劳动关系和谐企业”“山东省富民兴鲁奖状”、“山东省企业100强”、“中国优秀企业”、“中国化工企业100强”、“中国民营制造业500强”、“中国民营企业500强”、国家级“守合同重信用企业”等荣誉称号，并拥有中国商务部核准赋予的成品油批发经营资质及燃料油进口配额。</w:t>
      </w:r>
    </w:p>
    <w:p>
      <w:pPr>
        <w:topLinePunct/>
        <w:spacing w:line="560" w:lineRule="exact"/>
        <w:ind w:firstLine="600" w:firstLineChars="200"/>
        <w:rPr>
          <w:rFonts w:ascii="仿宋_GB2312" w:hAnsi="宋体" w:eastAsia="仿宋_GB2312"/>
          <w:kern w:val="0"/>
          <w:sz w:val="30"/>
          <w:szCs w:val="30"/>
        </w:rPr>
      </w:pPr>
      <w:r>
        <w:rPr>
          <w:rFonts w:hint="eastAsia" w:ascii="仿宋_GB2312" w:eastAsia="仿宋_GB2312"/>
          <w:sz w:val="30"/>
          <w:szCs w:val="30"/>
        </w:rPr>
        <w:t>富海集团始终秉承“每天超越自我，时刻追求卓越”的企业理念，不断做强做大，</w:t>
      </w:r>
      <w:r>
        <w:rPr>
          <w:rFonts w:hint="eastAsia" w:ascii="仿宋_GB2312" w:hAnsi="宋体" w:eastAsia="仿宋_GB2312"/>
          <w:kern w:val="0"/>
          <w:sz w:val="30"/>
          <w:szCs w:val="30"/>
        </w:rPr>
        <w:t>下辖东营华联石油化工厂有限公司、东营联合石化有限责任公司、富海能源服务连锁有限公司、菏泽富海能源发展有限公司、东营富海房地产开发有限公司、东营富海物流有限公司、东营富海物业管理有限公司</w:t>
      </w:r>
      <w:r>
        <w:rPr>
          <w:rFonts w:hint="eastAsia" w:ascii="仿宋_GB2312" w:hAnsi="华文中宋" w:eastAsia="仿宋_GB2312"/>
          <w:sz w:val="30"/>
          <w:szCs w:val="30"/>
        </w:rPr>
        <w:t>等</w:t>
      </w:r>
      <w:r>
        <w:rPr>
          <w:rFonts w:hint="eastAsia" w:ascii="仿宋_GB2312" w:hAnsi="宋体" w:eastAsia="仿宋_GB2312"/>
          <w:kern w:val="0"/>
          <w:sz w:val="30"/>
          <w:szCs w:val="30"/>
        </w:rPr>
        <w:t>几十家公</w:t>
      </w:r>
      <w:r>
        <w:rPr>
          <w:rFonts w:hint="eastAsia" w:ascii="仿宋_GB2312" w:hAnsi="宋体" w:eastAsia="仿宋_GB2312"/>
          <w:kern w:val="0"/>
          <w:sz w:val="30"/>
          <w:szCs w:val="30"/>
          <w:highlight w:val="none"/>
        </w:rPr>
        <w:t>司，员工</w:t>
      </w:r>
      <w:r>
        <w:rPr>
          <w:rFonts w:ascii="仿宋_GB2312" w:hAnsi="宋体" w:eastAsia="仿宋_GB2312"/>
          <w:kern w:val="0"/>
          <w:sz w:val="30"/>
          <w:szCs w:val="30"/>
          <w:highlight w:val="none"/>
        </w:rPr>
        <w:t>40</w:t>
      </w:r>
      <w:r>
        <w:rPr>
          <w:rFonts w:hint="eastAsia" w:ascii="仿宋_GB2312" w:hAnsi="宋体" w:eastAsia="仿宋_GB2312"/>
          <w:kern w:val="0"/>
          <w:sz w:val="30"/>
          <w:szCs w:val="30"/>
          <w:highlight w:val="none"/>
        </w:rPr>
        <w:t>00余人。</w:t>
      </w:r>
    </w:p>
    <w:p>
      <w:pPr>
        <w:topLinePunct/>
        <w:spacing w:line="560" w:lineRule="exact"/>
        <w:ind w:firstLine="600" w:firstLineChars="200"/>
        <w:rPr>
          <w:rFonts w:ascii="仿宋_GB2312" w:hAnsi="宋体" w:eastAsia="仿宋_GB2312"/>
          <w:kern w:val="0"/>
          <w:sz w:val="30"/>
          <w:szCs w:val="30"/>
        </w:rPr>
      </w:pPr>
      <w:r>
        <w:rPr>
          <w:rFonts w:ascii="仿宋_GB2312" w:hAnsi="宋体" w:eastAsia="仿宋_GB2312"/>
          <w:kern w:val="0"/>
          <w:sz w:val="30"/>
          <w:szCs w:val="30"/>
        </w:rPr>
        <w:t>面对经济全球化的潮流，</w:t>
      </w:r>
      <w:r>
        <w:rPr>
          <w:rFonts w:hint="eastAsia" w:ascii="仿宋_GB2312" w:hAnsi="宋体" w:eastAsia="仿宋_GB2312"/>
          <w:kern w:val="0"/>
          <w:sz w:val="30"/>
          <w:szCs w:val="30"/>
        </w:rPr>
        <w:t>富海集团利用自身优势，在石油炼化、新能源开发等方面寻求突破，打造千万吨级的炼化基地和完整的产业链条，积极寻找优良合作伙伴，大力开拓国内外市场，业务网络覆盖北京、天津、山东、内蒙古、江苏、浙江、四川、香港等中国大部分地区以及新加坡等东南亚国家和地区。</w:t>
      </w:r>
    </w:p>
    <w:p>
      <w:pPr>
        <w:spacing w:line="560" w:lineRule="exact"/>
        <w:ind w:firstLine="600" w:firstLineChars="200"/>
        <w:jc w:val="left"/>
        <w:rPr>
          <w:rFonts w:ascii="仿宋_GB2312" w:hAnsi="宋体" w:eastAsia="仿宋_GB2312"/>
          <w:kern w:val="0"/>
          <w:sz w:val="30"/>
          <w:szCs w:val="30"/>
        </w:rPr>
      </w:pPr>
      <w:r>
        <w:rPr>
          <w:rFonts w:hint="eastAsia" w:ascii="仿宋_GB2312" w:hAnsi="宋体" w:eastAsia="仿宋_GB2312"/>
          <w:kern w:val="0"/>
          <w:sz w:val="30"/>
          <w:szCs w:val="30"/>
        </w:rPr>
        <w:t>富海集团在“诚信、创新、团队、奉献”企业精神引领下，以发展壮大经济实力、优化创新企业管理为目标，以市场需求为导向，抓机遇，求发展，锐意进取，不断拓展经营领域，强化精细管理，拉长产业链条，扩大服务范围，以质量求生存，以信誉求发展。加强科技创新，优化产业资源，提升服务水平，加速产业升级，构建以石油化工为主产业，以煤化工、连锁营销、地产开发、物流运输等板块为重要组成的</w:t>
      </w:r>
      <w:r>
        <w:rPr>
          <w:rFonts w:ascii="仿宋_GB2312" w:hAnsi="宋体" w:eastAsia="仿宋_GB2312"/>
          <w:kern w:val="0"/>
          <w:sz w:val="30"/>
          <w:szCs w:val="30"/>
        </w:rPr>
        <w:t>多元</w:t>
      </w:r>
      <w:r>
        <w:rPr>
          <w:rFonts w:hint="eastAsia" w:ascii="仿宋_GB2312" w:hAnsi="宋体" w:eastAsia="仿宋_GB2312"/>
          <w:kern w:val="0"/>
          <w:sz w:val="30"/>
          <w:szCs w:val="30"/>
        </w:rPr>
        <w:t>化</w:t>
      </w:r>
      <w:r>
        <w:rPr>
          <w:rFonts w:ascii="仿宋_GB2312" w:hAnsi="宋体" w:eastAsia="仿宋_GB2312"/>
          <w:kern w:val="0"/>
          <w:sz w:val="30"/>
          <w:szCs w:val="30"/>
        </w:rPr>
        <w:t>产业</w:t>
      </w:r>
      <w:r>
        <w:rPr>
          <w:rFonts w:hint="eastAsia" w:ascii="仿宋_GB2312" w:hAnsi="宋体" w:eastAsia="仿宋_GB2312"/>
          <w:kern w:val="0"/>
          <w:sz w:val="30"/>
          <w:szCs w:val="30"/>
        </w:rPr>
        <w:t>布局。</w:t>
      </w:r>
    </w:p>
    <w:p>
      <w:pPr>
        <w:spacing w:line="560" w:lineRule="exact"/>
        <w:ind w:firstLine="600" w:firstLineChars="200"/>
        <w:rPr>
          <w:rFonts w:ascii="仿宋_GB2312" w:eastAsia="仿宋_GB2312"/>
          <w:bCs/>
          <w:sz w:val="30"/>
          <w:szCs w:val="30"/>
        </w:rPr>
      </w:pPr>
      <w:r>
        <w:rPr>
          <w:rFonts w:hint="eastAsia" w:ascii="仿宋_GB2312" w:hAnsi="宋体" w:eastAsia="仿宋_GB2312"/>
          <w:kern w:val="0"/>
          <w:sz w:val="30"/>
          <w:szCs w:val="30"/>
        </w:rPr>
        <w:t>富海人肩负“为社会创造财富、为股东创造价值、与员工共同成长、与客户携手共赢”的企业使命，坚持“以人为本”的核心价值观，全面推进科技兴企、人才强企战略，努力推动集团持续、快速、健康发展，从而实现“优化资源、造福人类”的企业愿景。</w:t>
      </w:r>
    </w:p>
    <w:p>
      <w:pPr>
        <w:spacing w:line="560" w:lineRule="exact"/>
        <w:ind w:firstLine="600" w:firstLineChars="200"/>
        <w:rPr>
          <w:rFonts w:ascii="黑体" w:eastAsia="黑体"/>
          <w:bCs/>
          <w:sz w:val="30"/>
          <w:szCs w:val="30"/>
        </w:rPr>
      </w:pPr>
      <w:r>
        <w:rPr>
          <w:rFonts w:hint="eastAsia" w:ascii="黑体" w:eastAsia="黑体"/>
          <w:bCs/>
          <w:sz w:val="30"/>
          <w:szCs w:val="30"/>
        </w:rPr>
        <w:t>二、招聘岗位</w:t>
      </w:r>
    </w:p>
    <w:tbl>
      <w:tblPr>
        <w:tblStyle w:val="8"/>
        <w:tblW w:w="8296" w:type="dxa"/>
        <w:jc w:val="center"/>
        <w:tblInd w:w="0" w:type="dxa"/>
        <w:tblLayout w:type="fixed"/>
        <w:tblCellMar>
          <w:top w:w="0" w:type="dxa"/>
          <w:left w:w="108" w:type="dxa"/>
          <w:bottom w:w="0" w:type="dxa"/>
          <w:right w:w="108" w:type="dxa"/>
        </w:tblCellMar>
      </w:tblPr>
      <w:tblGrid>
        <w:gridCol w:w="840"/>
        <w:gridCol w:w="1452"/>
        <w:gridCol w:w="1276"/>
        <w:gridCol w:w="4082"/>
        <w:gridCol w:w="646"/>
      </w:tblGrid>
      <w:tr>
        <w:tblPrEx>
          <w:tblLayout w:type="fixed"/>
          <w:tblCellMar>
            <w:top w:w="0" w:type="dxa"/>
            <w:left w:w="108" w:type="dxa"/>
            <w:bottom w:w="0" w:type="dxa"/>
            <w:right w:w="108" w:type="dxa"/>
          </w:tblCellMar>
        </w:tblPrEx>
        <w:trPr>
          <w:trHeight w:val="430" w:hRule="atLeast"/>
          <w:jc w:val="center"/>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序号</w:t>
            </w:r>
          </w:p>
        </w:tc>
        <w:tc>
          <w:tcPr>
            <w:tcW w:w="14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岗位类别</w:t>
            </w:r>
          </w:p>
        </w:tc>
        <w:tc>
          <w:tcPr>
            <w:tcW w:w="1276" w:type="dxa"/>
            <w:tcBorders>
              <w:top w:val="single" w:color="auto" w:sz="4" w:space="0"/>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学历</w:t>
            </w:r>
          </w:p>
        </w:tc>
        <w:tc>
          <w:tcPr>
            <w:tcW w:w="4082"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招聘专业</w:t>
            </w:r>
          </w:p>
        </w:tc>
        <w:tc>
          <w:tcPr>
            <w:tcW w:w="6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人数</w:t>
            </w:r>
          </w:p>
        </w:tc>
      </w:tr>
      <w:tr>
        <w:tblPrEx>
          <w:tblLayout w:type="fixed"/>
          <w:tblCellMar>
            <w:top w:w="0" w:type="dxa"/>
            <w:left w:w="108" w:type="dxa"/>
            <w:bottom w:w="0" w:type="dxa"/>
            <w:right w:w="108" w:type="dxa"/>
          </w:tblCellMar>
        </w:tblPrEx>
        <w:trPr>
          <w:trHeight w:val="635" w:hRule="atLeast"/>
          <w:jc w:val="center"/>
        </w:trPr>
        <w:tc>
          <w:tcPr>
            <w:tcW w:w="840" w:type="dxa"/>
            <w:tcBorders>
              <w:top w:val="nil"/>
              <w:left w:val="single" w:color="auto" w:sz="4" w:space="0"/>
              <w:bottom w:val="nil"/>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1452" w:type="dxa"/>
            <w:tcBorders>
              <w:top w:val="nil"/>
              <w:left w:val="nil"/>
              <w:bottom w:val="nil"/>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工艺操作类</w:t>
            </w:r>
          </w:p>
        </w:tc>
        <w:tc>
          <w:tcPr>
            <w:tcW w:w="1276" w:type="dxa"/>
            <w:tcBorders>
              <w:top w:val="nil"/>
              <w:left w:val="nil"/>
              <w:bottom w:val="nil"/>
              <w:right w:val="single" w:color="auto" w:sz="4" w:space="0"/>
            </w:tcBorders>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本科及以上</w:t>
            </w:r>
          </w:p>
        </w:tc>
        <w:tc>
          <w:tcPr>
            <w:tcW w:w="408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化学工程与工艺、石油化工与技术、化学、应用化学、高分子材料与化学、工业工程、轻化工程等相关专业</w:t>
            </w:r>
          </w:p>
        </w:tc>
        <w:tc>
          <w:tcPr>
            <w:tcW w:w="646" w:type="dxa"/>
            <w:tcBorders>
              <w:top w:val="single" w:color="auto" w:sz="4" w:space="0"/>
              <w:left w:val="nil"/>
              <w:bottom w:val="nil"/>
              <w:right w:val="single" w:color="auto" w:sz="4" w:space="0"/>
            </w:tcBorders>
            <w:vAlign w:val="center"/>
          </w:tcPr>
          <w:p>
            <w:pPr>
              <w:widowControl/>
              <w:jc w:val="center"/>
              <w:rPr>
                <w:rFonts w:hint="eastAsia" w:ascii="仿宋_GB2312" w:hAnsi="宋体" w:eastAsia="仿宋_GB2312" w:cs="宋体"/>
                <w:b/>
                <w:bCs/>
                <w:color w:val="000000"/>
                <w:kern w:val="0"/>
                <w:sz w:val="20"/>
                <w:szCs w:val="20"/>
                <w:lang w:eastAsia="zh-CN"/>
              </w:rPr>
            </w:pPr>
            <w:r>
              <w:rPr>
                <w:rFonts w:hint="eastAsia" w:ascii="仿宋_GB2312" w:hAnsi="宋体" w:eastAsia="仿宋_GB2312" w:cs="宋体"/>
                <w:b/>
                <w:bCs/>
                <w:color w:val="000000"/>
                <w:kern w:val="0"/>
                <w:sz w:val="20"/>
                <w:szCs w:val="20"/>
                <w:lang w:val="en-US" w:eastAsia="zh-CN"/>
              </w:rPr>
              <w:t>100</w:t>
            </w:r>
          </w:p>
        </w:tc>
      </w:tr>
      <w:tr>
        <w:tblPrEx>
          <w:tblLayout w:type="fixed"/>
          <w:tblCellMar>
            <w:top w:w="0" w:type="dxa"/>
            <w:left w:w="108" w:type="dxa"/>
            <w:bottom w:w="0" w:type="dxa"/>
            <w:right w:w="108" w:type="dxa"/>
          </w:tblCellMar>
        </w:tblPrEx>
        <w:trPr>
          <w:trHeight w:val="582" w:hRule="atLeast"/>
          <w:jc w:val="center"/>
        </w:trPr>
        <w:tc>
          <w:tcPr>
            <w:tcW w:w="840"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w:t>
            </w:r>
          </w:p>
        </w:tc>
        <w:tc>
          <w:tcPr>
            <w:tcW w:w="1452" w:type="dxa"/>
            <w:tcBorders>
              <w:top w:val="single" w:color="auto" w:sz="4" w:space="0"/>
              <w:left w:val="nil"/>
              <w:bottom w:val="nil"/>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油品化验类</w:t>
            </w:r>
          </w:p>
        </w:tc>
        <w:tc>
          <w:tcPr>
            <w:tcW w:w="1276" w:type="dxa"/>
            <w:tcBorders>
              <w:top w:val="single" w:color="auto" w:sz="4" w:space="0"/>
              <w:left w:val="nil"/>
              <w:bottom w:val="nil"/>
              <w:right w:val="single" w:color="auto" w:sz="4" w:space="0"/>
            </w:tcBorders>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本科及以上</w:t>
            </w:r>
          </w:p>
        </w:tc>
        <w:tc>
          <w:tcPr>
            <w:tcW w:w="4082"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化学工程与工艺、</w:t>
            </w:r>
            <w:r>
              <w:rPr>
                <w:rFonts w:hint="eastAsia" w:ascii="仿宋_GB2312" w:hAnsi="宋体" w:eastAsia="仿宋_GB2312" w:cs="宋体"/>
                <w:color w:val="000000"/>
                <w:kern w:val="0"/>
                <w:sz w:val="20"/>
                <w:szCs w:val="20"/>
                <w:lang w:val="en-US" w:eastAsia="zh-CN"/>
              </w:rPr>
              <w:t>工业分析</w:t>
            </w:r>
            <w:r>
              <w:rPr>
                <w:rFonts w:hint="eastAsia" w:ascii="仿宋_GB2312" w:hAnsi="宋体" w:eastAsia="仿宋_GB2312" w:cs="宋体"/>
                <w:color w:val="000000"/>
                <w:kern w:val="0"/>
                <w:sz w:val="20"/>
                <w:szCs w:val="20"/>
              </w:rPr>
              <w:t>、化学、应用化学</w:t>
            </w:r>
            <w:r>
              <w:rPr>
                <w:rFonts w:hint="eastAsia" w:ascii="仿宋_GB2312" w:hAnsi="宋体" w:eastAsia="仿宋_GB2312" w:cs="宋体"/>
                <w:color w:val="000000"/>
                <w:kern w:val="0"/>
                <w:sz w:val="20"/>
                <w:szCs w:val="20"/>
                <w:lang w:val="en-US" w:eastAsia="zh-CN"/>
              </w:rPr>
              <w:t>等相关专业</w:t>
            </w:r>
          </w:p>
        </w:tc>
        <w:tc>
          <w:tcPr>
            <w:tcW w:w="646" w:type="dxa"/>
            <w:tcBorders>
              <w:top w:val="single" w:color="auto" w:sz="4" w:space="0"/>
              <w:left w:val="single" w:color="auto" w:sz="4" w:space="0"/>
              <w:bottom w:val="nil"/>
              <w:right w:val="single" w:color="auto" w:sz="4" w:space="0"/>
            </w:tcBorders>
            <w:vAlign w:val="center"/>
          </w:tcPr>
          <w:p>
            <w:pPr>
              <w:widowControl/>
              <w:jc w:val="center"/>
              <w:rPr>
                <w:rFonts w:hint="eastAsia" w:ascii="仿宋_GB2312" w:hAnsi="宋体" w:eastAsia="仿宋_GB2312" w:cs="宋体"/>
                <w:b/>
                <w:bCs/>
                <w:color w:val="000000"/>
                <w:kern w:val="0"/>
                <w:sz w:val="20"/>
                <w:szCs w:val="20"/>
                <w:lang w:val="en-US" w:eastAsia="zh-CN"/>
              </w:rPr>
            </w:pPr>
            <w:r>
              <w:rPr>
                <w:rFonts w:hint="eastAsia" w:ascii="仿宋_GB2312" w:hAnsi="宋体" w:eastAsia="仿宋_GB2312" w:cs="宋体"/>
                <w:b/>
                <w:bCs/>
                <w:color w:val="000000"/>
                <w:kern w:val="0"/>
                <w:sz w:val="20"/>
                <w:szCs w:val="20"/>
                <w:lang w:val="en-US" w:eastAsia="zh-CN"/>
              </w:rPr>
              <w:t>10</w:t>
            </w:r>
          </w:p>
        </w:tc>
      </w:tr>
      <w:tr>
        <w:tblPrEx>
          <w:tblLayout w:type="fixed"/>
          <w:tblCellMar>
            <w:top w:w="0" w:type="dxa"/>
            <w:left w:w="108" w:type="dxa"/>
            <w:bottom w:w="0" w:type="dxa"/>
            <w:right w:w="108" w:type="dxa"/>
          </w:tblCellMar>
        </w:tblPrEx>
        <w:trPr>
          <w:trHeight w:val="582" w:hRule="atLeast"/>
          <w:jc w:val="center"/>
        </w:trPr>
        <w:tc>
          <w:tcPr>
            <w:tcW w:w="840"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val="en-US" w:eastAsia="zh-CN"/>
              </w:rPr>
              <w:t>3</w:t>
            </w:r>
          </w:p>
        </w:tc>
        <w:tc>
          <w:tcPr>
            <w:tcW w:w="1452" w:type="dxa"/>
            <w:tcBorders>
              <w:top w:val="single" w:color="auto" w:sz="4" w:space="0"/>
              <w:left w:val="nil"/>
              <w:bottom w:val="nil"/>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油气储运类</w:t>
            </w:r>
          </w:p>
        </w:tc>
        <w:tc>
          <w:tcPr>
            <w:tcW w:w="1276" w:type="dxa"/>
            <w:tcBorders>
              <w:top w:val="single" w:color="auto" w:sz="4" w:space="0"/>
              <w:left w:val="nil"/>
              <w:bottom w:val="nil"/>
              <w:right w:val="single" w:color="auto" w:sz="4" w:space="0"/>
            </w:tcBorders>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本科及以上</w:t>
            </w:r>
          </w:p>
        </w:tc>
        <w:tc>
          <w:tcPr>
            <w:tcW w:w="4082"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油气储运、环境工程、安全工程等相关专业</w:t>
            </w:r>
          </w:p>
        </w:tc>
        <w:tc>
          <w:tcPr>
            <w:tcW w:w="646" w:type="dxa"/>
            <w:tcBorders>
              <w:top w:val="single" w:color="auto" w:sz="4" w:space="0"/>
              <w:left w:val="single" w:color="auto" w:sz="4" w:space="0"/>
              <w:bottom w:val="nil"/>
              <w:right w:val="single" w:color="auto" w:sz="4" w:space="0"/>
            </w:tcBorders>
            <w:vAlign w:val="center"/>
          </w:tcPr>
          <w:p>
            <w:pPr>
              <w:widowControl/>
              <w:jc w:val="center"/>
              <w:rPr>
                <w:rFonts w:hint="eastAsia" w:ascii="仿宋_GB2312" w:hAnsi="宋体" w:eastAsia="仿宋_GB2312" w:cs="宋体"/>
                <w:b/>
                <w:bCs/>
                <w:color w:val="000000"/>
                <w:kern w:val="0"/>
                <w:sz w:val="20"/>
                <w:szCs w:val="20"/>
                <w:lang w:eastAsia="zh-CN"/>
              </w:rPr>
            </w:pPr>
            <w:r>
              <w:rPr>
                <w:rFonts w:hint="eastAsia" w:ascii="仿宋_GB2312" w:hAnsi="宋体" w:eastAsia="仿宋_GB2312" w:cs="宋体"/>
                <w:b/>
                <w:bCs/>
                <w:color w:val="000000"/>
                <w:kern w:val="0"/>
                <w:sz w:val="20"/>
                <w:szCs w:val="20"/>
                <w:lang w:val="en-US" w:eastAsia="zh-CN"/>
              </w:rPr>
              <w:t>30</w:t>
            </w:r>
          </w:p>
        </w:tc>
      </w:tr>
      <w:tr>
        <w:tblPrEx>
          <w:tblLayout w:type="fixed"/>
          <w:tblCellMar>
            <w:top w:w="0" w:type="dxa"/>
            <w:left w:w="108" w:type="dxa"/>
            <w:bottom w:w="0" w:type="dxa"/>
            <w:right w:w="108" w:type="dxa"/>
          </w:tblCellMar>
        </w:tblPrEx>
        <w:trPr>
          <w:trHeight w:val="661" w:hRule="atLeast"/>
          <w:jc w:val="center"/>
        </w:trPr>
        <w:tc>
          <w:tcPr>
            <w:tcW w:w="840"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val="en-US" w:eastAsia="zh-CN"/>
              </w:rPr>
              <w:t>4</w:t>
            </w:r>
          </w:p>
        </w:tc>
        <w:tc>
          <w:tcPr>
            <w:tcW w:w="14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机械设备类</w:t>
            </w: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本科及以上</w:t>
            </w:r>
          </w:p>
        </w:tc>
        <w:tc>
          <w:tcPr>
            <w:tcW w:w="40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过程装备与控制工程、机械设计制造及其自动化、热能与动力工程、轮机工程等相关专业</w:t>
            </w:r>
          </w:p>
        </w:tc>
        <w:tc>
          <w:tcPr>
            <w:tcW w:w="6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bCs/>
                <w:color w:val="000000"/>
                <w:kern w:val="0"/>
                <w:sz w:val="20"/>
                <w:szCs w:val="20"/>
                <w:lang w:val="en-US" w:eastAsia="zh-CN"/>
              </w:rPr>
            </w:pPr>
            <w:r>
              <w:rPr>
                <w:rFonts w:hint="eastAsia" w:ascii="仿宋_GB2312" w:hAnsi="宋体" w:eastAsia="仿宋_GB2312" w:cs="宋体"/>
                <w:b/>
                <w:bCs/>
                <w:color w:val="000000"/>
                <w:kern w:val="0"/>
                <w:sz w:val="20"/>
                <w:szCs w:val="20"/>
                <w:lang w:val="en-US" w:eastAsia="zh-CN"/>
              </w:rPr>
              <w:t>20</w:t>
            </w:r>
          </w:p>
        </w:tc>
      </w:tr>
      <w:tr>
        <w:tblPrEx>
          <w:tblLayout w:type="fixed"/>
          <w:tblCellMar>
            <w:top w:w="0" w:type="dxa"/>
            <w:left w:w="108" w:type="dxa"/>
            <w:bottom w:w="0" w:type="dxa"/>
            <w:right w:w="108" w:type="dxa"/>
          </w:tblCellMar>
        </w:tblPrEx>
        <w:trPr>
          <w:trHeight w:val="453" w:hRule="atLeast"/>
          <w:jc w:val="center"/>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val="en-US" w:eastAsia="zh-CN"/>
              </w:rPr>
              <w:t>5</w:t>
            </w:r>
          </w:p>
        </w:tc>
        <w:tc>
          <w:tcPr>
            <w:tcW w:w="145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电气仪表类</w:t>
            </w:r>
          </w:p>
        </w:tc>
        <w:tc>
          <w:tcPr>
            <w:tcW w:w="1276"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本科及以上</w:t>
            </w:r>
          </w:p>
        </w:tc>
        <w:tc>
          <w:tcPr>
            <w:tcW w:w="408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自动化、电气工程及其自动化、测控技术与仪器、机电一体化等相关专业</w:t>
            </w:r>
          </w:p>
        </w:tc>
        <w:tc>
          <w:tcPr>
            <w:tcW w:w="646"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bCs/>
                <w:color w:val="000000"/>
                <w:kern w:val="0"/>
                <w:sz w:val="20"/>
                <w:szCs w:val="20"/>
                <w:lang w:val="en-US" w:eastAsia="zh-CN"/>
              </w:rPr>
            </w:pPr>
            <w:r>
              <w:rPr>
                <w:rFonts w:hint="eastAsia" w:ascii="仿宋_GB2312" w:hAnsi="宋体" w:eastAsia="仿宋_GB2312" w:cs="宋体"/>
                <w:b/>
                <w:bCs/>
                <w:color w:val="000000"/>
                <w:kern w:val="0"/>
                <w:sz w:val="20"/>
                <w:szCs w:val="20"/>
                <w:lang w:val="en-US" w:eastAsia="zh-CN"/>
              </w:rPr>
              <w:t>20</w:t>
            </w:r>
          </w:p>
        </w:tc>
      </w:tr>
      <w:tr>
        <w:tblPrEx>
          <w:tblLayout w:type="fixed"/>
          <w:tblCellMar>
            <w:top w:w="0" w:type="dxa"/>
            <w:left w:w="108" w:type="dxa"/>
            <w:bottom w:w="0" w:type="dxa"/>
            <w:right w:w="108" w:type="dxa"/>
          </w:tblCellMar>
        </w:tblPrEx>
        <w:trPr>
          <w:trHeight w:val="489" w:hRule="atLeast"/>
          <w:jc w:val="center"/>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6</w:t>
            </w:r>
          </w:p>
        </w:tc>
        <w:tc>
          <w:tcPr>
            <w:tcW w:w="14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highlight w:val="none"/>
                <w:lang w:val="en-US" w:eastAsia="zh-CN"/>
              </w:rPr>
            </w:pPr>
            <w:r>
              <w:rPr>
                <w:rFonts w:hint="eastAsia" w:ascii="仿宋_GB2312" w:hAnsi="宋体" w:eastAsia="仿宋_GB2312" w:cs="宋体"/>
                <w:color w:val="000000"/>
                <w:kern w:val="0"/>
                <w:sz w:val="20"/>
                <w:szCs w:val="20"/>
                <w:highlight w:val="none"/>
                <w:lang w:val="en-US" w:eastAsia="zh-CN"/>
              </w:rPr>
              <w:t>工程管理类</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000000"/>
                <w:kern w:val="0"/>
                <w:sz w:val="20"/>
                <w:szCs w:val="20"/>
                <w:highlight w:val="none"/>
              </w:rPr>
            </w:pPr>
            <w:r>
              <w:rPr>
                <w:rFonts w:hint="eastAsia" w:ascii="仿宋_GB2312" w:hAnsi="宋体" w:eastAsia="仿宋_GB2312" w:cs="宋体"/>
                <w:color w:val="000000"/>
                <w:kern w:val="0"/>
                <w:sz w:val="20"/>
                <w:szCs w:val="20"/>
              </w:rPr>
              <w:t>本科及以上</w:t>
            </w:r>
          </w:p>
        </w:tc>
        <w:tc>
          <w:tcPr>
            <w:tcW w:w="40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仿宋_GB2312" w:hAnsi="宋体" w:eastAsia="仿宋_GB2312" w:cs="宋体"/>
                <w:color w:val="000000"/>
                <w:kern w:val="0"/>
                <w:sz w:val="20"/>
                <w:szCs w:val="20"/>
                <w:highlight w:val="none"/>
                <w:lang w:val="en-US" w:eastAsia="zh-CN"/>
              </w:rPr>
            </w:pPr>
            <w:r>
              <w:rPr>
                <w:rFonts w:hint="eastAsia" w:ascii="仿宋_GB2312" w:hAnsi="宋体" w:eastAsia="仿宋_GB2312" w:cs="宋体"/>
                <w:color w:val="000000"/>
                <w:kern w:val="0"/>
                <w:sz w:val="20"/>
                <w:szCs w:val="20"/>
                <w:highlight w:val="none"/>
                <w:lang w:val="en-US" w:eastAsia="zh-CN"/>
              </w:rPr>
              <w:t>工程管理、工程造价、土木工程、工程建筑类相关专业</w:t>
            </w:r>
          </w:p>
        </w:tc>
        <w:tc>
          <w:tcPr>
            <w:tcW w:w="6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bCs/>
                <w:color w:val="000000"/>
                <w:kern w:val="0"/>
                <w:sz w:val="20"/>
                <w:szCs w:val="20"/>
                <w:highlight w:val="none"/>
                <w:lang w:val="en-US" w:eastAsia="zh-CN"/>
              </w:rPr>
            </w:pPr>
            <w:r>
              <w:rPr>
                <w:rFonts w:hint="eastAsia" w:ascii="仿宋_GB2312" w:hAnsi="宋体" w:eastAsia="仿宋_GB2312" w:cs="宋体"/>
                <w:b/>
                <w:bCs/>
                <w:color w:val="000000"/>
                <w:kern w:val="0"/>
                <w:sz w:val="20"/>
                <w:szCs w:val="20"/>
                <w:highlight w:val="none"/>
                <w:lang w:val="en-US" w:eastAsia="zh-CN"/>
              </w:rPr>
              <w:t>8</w:t>
            </w:r>
          </w:p>
        </w:tc>
      </w:tr>
      <w:tr>
        <w:tblPrEx>
          <w:tblLayout w:type="fixed"/>
          <w:tblCellMar>
            <w:top w:w="0" w:type="dxa"/>
            <w:left w:w="108" w:type="dxa"/>
            <w:bottom w:w="0" w:type="dxa"/>
            <w:right w:w="108" w:type="dxa"/>
          </w:tblCellMar>
        </w:tblPrEx>
        <w:trPr>
          <w:trHeight w:val="489" w:hRule="atLeast"/>
          <w:jc w:val="center"/>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val="en-US" w:eastAsia="zh-CN"/>
              </w:rPr>
              <w:t>7</w:t>
            </w:r>
          </w:p>
        </w:tc>
        <w:tc>
          <w:tcPr>
            <w:tcW w:w="14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highlight w:val="none"/>
              </w:rPr>
            </w:pPr>
            <w:r>
              <w:rPr>
                <w:rFonts w:hint="eastAsia" w:ascii="仿宋_GB2312" w:hAnsi="宋体" w:eastAsia="仿宋_GB2312" w:cs="宋体"/>
                <w:color w:val="000000"/>
                <w:kern w:val="0"/>
                <w:sz w:val="20"/>
                <w:szCs w:val="20"/>
                <w:highlight w:val="none"/>
                <w:lang w:val="en-US" w:eastAsia="zh-CN"/>
              </w:rPr>
              <w:t>市场营销</w:t>
            </w:r>
            <w:r>
              <w:rPr>
                <w:rFonts w:hint="eastAsia" w:ascii="仿宋_GB2312" w:hAnsi="宋体" w:eastAsia="仿宋_GB2312" w:cs="宋体"/>
                <w:color w:val="000000"/>
                <w:kern w:val="0"/>
                <w:sz w:val="20"/>
                <w:szCs w:val="20"/>
                <w:highlight w:val="none"/>
              </w:rPr>
              <w:t>类</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0"/>
                <w:szCs w:val="20"/>
                <w:highlight w:val="none"/>
              </w:rPr>
            </w:pPr>
            <w:r>
              <w:rPr>
                <w:rFonts w:hint="eastAsia" w:ascii="仿宋_GB2312" w:hAnsi="宋体" w:eastAsia="仿宋_GB2312" w:cs="宋体"/>
                <w:color w:val="000000"/>
                <w:kern w:val="0"/>
                <w:sz w:val="20"/>
                <w:szCs w:val="20"/>
                <w:highlight w:val="none"/>
              </w:rPr>
              <w:t>本科及以上</w:t>
            </w:r>
          </w:p>
        </w:tc>
        <w:tc>
          <w:tcPr>
            <w:tcW w:w="40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highlight w:val="none"/>
              </w:rPr>
            </w:pPr>
            <w:r>
              <w:rPr>
                <w:rFonts w:hint="eastAsia" w:ascii="仿宋_GB2312" w:hAnsi="宋体" w:eastAsia="仿宋_GB2312" w:cs="宋体"/>
                <w:color w:val="000000"/>
                <w:kern w:val="0"/>
                <w:sz w:val="20"/>
                <w:szCs w:val="20"/>
                <w:highlight w:val="none"/>
              </w:rPr>
              <w:t>市场营销、国际经济与贸易</w:t>
            </w:r>
            <w:r>
              <w:rPr>
                <w:rFonts w:hint="eastAsia" w:ascii="仿宋_GB2312" w:hAnsi="宋体" w:eastAsia="仿宋_GB2312" w:cs="宋体"/>
                <w:color w:val="000000"/>
                <w:kern w:val="0"/>
                <w:sz w:val="20"/>
                <w:szCs w:val="20"/>
                <w:highlight w:val="none"/>
                <w:lang w:eastAsia="zh-CN"/>
              </w:rPr>
              <w:t>、</w:t>
            </w:r>
            <w:r>
              <w:rPr>
                <w:rFonts w:hint="eastAsia" w:ascii="仿宋_GB2312" w:hAnsi="宋体" w:eastAsia="仿宋_GB2312" w:cs="宋体"/>
                <w:color w:val="000000"/>
                <w:kern w:val="0"/>
                <w:sz w:val="20"/>
                <w:szCs w:val="20"/>
                <w:highlight w:val="none"/>
                <w:lang w:val="en-US" w:eastAsia="zh-CN"/>
              </w:rPr>
              <w:t>视觉传达设计、广告学、</w:t>
            </w:r>
            <w:r>
              <w:rPr>
                <w:rFonts w:hint="eastAsia" w:ascii="仿宋_GB2312" w:hAnsi="宋体" w:eastAsia="仿宋_GB2312" w:cs="宋体"/>
                <w:color w:val="000000"/>
                <w:kern w:val="0"/>
                <w:sz w:val="20"/>
                <w:szCs w:val="20"/>
                <w:highlight w:val="none"/>
              </w:rPr>
              <w:t>电子商务等相关专业</w:t>
            </w:r>
          </w:p>
        </w:tc>
        <w:tc>
          <w:tcPr>
            <w:tcW w:w="6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color w:val="000000"/>
                <w:kern w:val="0"/>
                <w:sz w:val="20"/>
                <w:szCs w:val="20"/>
                <w:highlight w:val="none"/>
              </w:rPr>
            </w:pPr>
            <w:r>
              <w:rPr>
                <w:rFonts w:ascii="仿宋_GB2312" w:hAnsi="宋体" w:eastAsia="仿宋_GB2312" w:cs="宋体"/>
                <w:b/>
                <w:bCs/>
                <w:color w:val="000000"/>
                <w:kern w:val="0"/>
                <w:sz w:val="20"/>
                <w:szCs w:val="20"/>
                <w:highlight w:val="none"/>
              </w:rPr>
              <w:t>1</w:t>
            </w:r>
            <w:r>
              <w:rPr>
                <w:rFonts w:hint="eastAsia" w:ascii="仿宋_GB2312" w:hAnsi="宋体" w:eastAsia="仿宋_GB2312" w:cs="宋体"/>
                <w:b/>
                <w:bCs/>
                <w:color w:val="000000"/>
                <w:kern w:val="0"/>
                <w:sz w:val="20"/>
                <w:szCs w:val="20"/>
                <w:highlight w:val="none"/>
              </w:rPr>
              <w:t>0</w:t>
            </w:r>
          </w:p>
        </w:tc>
      </w:tr>
      <w:tr>
        <w:tblPrEx>
          <w:tblLayout w:type="fixed"/>
          <w:tblCellMar>
            <w:top w:w="0" w:type="dxa"/>
            <w:left w:w="108" w:type="dxa"/>
            <w:bottom w:w="0" w:type="dxa"/>
            <w:right w:w="108" w:type="dxa"/>
          </w:tblCellMar>
        </w:tblPrEx>
        <w:trPr>
          <w:trHeight w:val="630" w:hRule="atLeast"/>
          <w:jc w:val="center"/>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val="en-US" w:eastAsia="zh-CN"/>
              </w:rPr>
              <w:t>8</w:t>
            </w:r>
          </w:p>
        </w:tc>
        <w:tc>
          <w:tcPr>
            <w:tcW w:w="14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财会金融类</w:t>
            </w: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本科及以上</w:t>
            </w:r>
          </w:p>
        </w:tc>
        <w:tc>
          <w:tcPr>
            <w:tcW w:w="40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会计学、财务管理、审计学、财政学、金融学等相关专业</w:t>
            </w:r>
          </w:p>
        </w:tc>
        <w:tc>
          <w:tcPr>
            <w:tcW w:w="6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bCs/>
                <w:color w:val="000000"/>
                <w:kern w:val="0"/>
                <w:sz w:val="20"/>
                <w:szCs w:val="20"/>
                <w:lang w:val="en-US" w:eastAsia="zh-CN"/>
              </w:rPr>
            </w:pPr>
            <w:r>
              <w:rPr>
                <w:rFonts w:hint="eastAsia" w:ascii="仿宋_GB2312" w:hAnsi="宋体" w:eastAsia="仿宋_GB2312" w:cs="宋体"/>
                <w:b/>
                <w:bCs/>
                <w:color w:val="000000"/>
                <w:kern w:val="0"/>
                <w:sz w:val="20"/>
                <w:szCs w:val="20"/>
                <w:lang w:val="en-US" w:eastAsia="zh-CN"/>
              </w:rPr>
              <w:t>8</w:t>
            </w:r>
          </w:p>
        </w:tc>
      </w:tr>
      <w:tr>
        <w:tblPrEx>
          <w:tblLayout w:type="fixed"/>
          <w:tblCellMar>
            <w:top w:w="0" w:type="dxa"/>
            <w:left w:w="108" w:type="dxa"/>
            <w:bottom w:w="0" w:type="dxa"/>
            <w:right w:w="108" w:type="dxa"/>
          </w:tblCellMar>
        </w:tblPrEx>
        <w:trPr>
          <w:trHeight w:val="449" w:hRule="atLeast"/>
          <w:jc w:val="center"/>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9</w:t>
            </w:r>
          </w:p>
        </w:tc>
        <w:tc>
          <w:tcPr>
            <w:tcW w:w="14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物流管理类</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本科及以上</w:t>
            </w:r>
          </w:p>
        </w:tc>
        <w:tc>
          <w:tcPr>
            <w:tcW w:w="40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both"/>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物流管理、工商管理类相关专业</w:t>
            </w:r>
          </w:p>
        </w:tc>
        <w:tc>
          <w:tcPr>
            <w:tcW w:w="6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bCs/>
                <w:color w:val="000000"/>
                <w:kern w:val="0"/>
                <w:sz w:val="20"/>
                <w:szCs w:val="20"/>
                <w:lang w:val="en-US" w:eastAsia="zh-CN"/>
              </w:rPr>
            </w:pPr>
            <w:r>
              <w:rPr>
                <w:rFonts w:hint="eastAsia" w:ascii="仿宋_GB2312" w:hAnsi="宋体" w:eastAsia="仿宋_GB2312" w:cs="宋体"/>
                <w:b/>
                <w:bCs/>
                <w:color w:val="000000"/>
                <w:kern w:val="0"/>
                <w:sz w:val="20"/>
                <w:szCs w:val="20"/>
                <w:lang w:val="en-US" w:eastAsia="zh-CN"/>
              </w:rPr>
              <w:t>5</w:t>
            </w:r>
          </w:p>
        </w:tc>
      </w:tr>
      <w:tr>
        <w:tblPrEx>
          <w:tblLayout w:type="fixed"/>
          <w:tblCellMar>
            <w:top w:w="0" w:type="dxa"/>
            <w:left w:w="108" w:type="dxa"/>
            <w:bottom w:w="0" w:type="dxa"/>
            <w:right w:w="108" w:type="dxa"/>
          </w:tblCellMar>
        </w:tblPrEx>
        <w:trPr>
          <w:trHeight w:val="557" w:hRule="atLeast"/>
          <w:jc w:val="center"/>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val="en-US" w:eastAsia="zh-CN"/>
              </w:rPr>
              <w:t>10</w:t>
            </w:r>
          </w:p>
        </w:tc>
        <w:tc>
          <w:tcPr>
            <w:tcW w:w="14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信息技术类</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本科及以上</w:t>
            </w:r>
          </w:p>
        </w:tc>
        <w:tc>
          <w:tcPr>
            <w:tcW w:w="40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软件工程、网络工程、计算机科学与技术等相关专业</w:t>
            </w:r>
          </w:p>
        </w:tc>
        <w:tc>
          <w:tcPr>
            <w:tcW w:w="6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10</w:t>
            </w:r>
          </w:p>
        </w:tc>
      </w:tr>
      <w:tr>
        <w:tblPrEx>
          <w:tblLayout w:type="fixed"/>
          <w:tblCellMar>
            <w:top w:w="0" w:type="dxa"/>
            <w:left w:w="108" w:type="dxa"/>
            <w:bottom w:w="0" w:type="dxa"/>
            <w:right w:w="108" w:type="dxa"/>
          </w:tblCellMar>
        </w:tblPrEx>
        <w:trPr>
          <w:trHeight w:val="591" w:hRule="atLeast"/>
          <w:jc w:val="center"/>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val="en-US" w:eastAsia="zh-CN"/>
              </w:rPr>
              <w:t>11</w:t>
            </w:r>
          </w:p>
        </w:tc>
        <w:tc>
          <w:tcPr>
            <w:tcW w:w="14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文秘类</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本科及以上</w:t>
            </w:r>
          </w:p>
        </w:tc>
        <w:tc>
          <w:tcPr>
            <w:tcW w:w="40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both"/>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汉语言文学、秘书学等相关专业</w:t>
            </w:r>
          </w:p>
        </w:tc>
        <w:tc>
          <w:tcPr>
            <w:tcW w:w="6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bCs/>
                <w:color w:val="000000"/>
                <w:kern w:val="0"/>
                <w:sz w:val="20"/>
                <w:szCs w:val="20"/>
                <w:lang w:eastAsia="zh-CN"/>
              </w:rPr>
            </w:pPr>
            <w:r>
              <w:rPr>
                <w:rFonts w:hint="eastAsia" w:ascii="仿宋_GB2312" w:hAnsi="宋体" w:eastAsia="仿宋_GB2312" w:cs="宋体"/>
                <w:b/>
                <w:bCs/>
                <w:color w:val="000000"/>
                <w:kern w:val="0"/>
                <w:sz w:val="20"/>
                <w:szCs w:val="20"/>
                <w:lang w:val="en-US" w:eastAsia="zh-CN"/>
              </w:rPr>
              <w:t>2</w:t>
            </w:r>
          </w:p>
        </w:tc>
      </w:tr>
      <w:tr>
        <w:tblPrEx>
          <w:tblLayout w:type="fixed"/>
          <w:tblCellMar>
            <w:top w:w="0" w:type="dxa"/>
            <w:left w:w="108" w:type="dxa"/>
            <w:bottom w:w="0" w:type="dxa"/>
            <w:right w:w="108" w:type="dxa"/>
          </w:tblCellMar>
        </w:tblPrEx>
        <w:trPr>
          <w:trHeight w:val="630" w:hRule="atLeast"/>
          <w:jc w:val="center"/>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val="en-US" w:eastAsia="zh-CN"/>
              </w:rPr>
              <w:t>12</w:t>
            </w:r>
          </w:p>
        </w:tc>
        <w:tc>
          <w:tcPr>
            <w:tcW w:w="14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人力资源类</w:t>
            </w: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本科及以上</w:t>
            </w:r>
          </w:p>
        </w:tc>
        <w:tc>
          <w:tcPr>
            <w:tcW w:w="40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人力资源管理、工商管理、公共事业管理、劳动和社会保障等相关专业</w:t>
            </w:r>
          </w:p>
        </w:tc>
        <w:tc>
          <w:tcPr>
            <w:tcW w:w="6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bCs/>
                <w:color w:val="000000"/>
                <w:kern w:val="0"/>
                <w:sz w:val="20"/>
                <w:szCs w:val="20"/>
                <w:lang w:eastAsia="zh-CN"/>
              </w:rPr>
            </w:pPr>
            <w:r>
              <w:rPr>
                <w:rFonts w:hint="eastAsia" w:ascii="仿宋_GB2312" w:hAnsi="宋体" w:eastAsia="仿宋_GB2312" w:cs="宋体"/>
                <w:b/>
                <w:bCs/>
                <w:color w:val="000000"/>
                <w:kern w:val="0"/>
                <w:sz w:val="20"/>
                <w:szCs w:val="20"/>
                <w:lang w:val="en-US" w:eastAsia="zh-CN"/>
              </w:rPr>
              <w:t>6</w:t>
            </w:r>
          </w:p>
        </w:tc>
      </w:tr>
    </w:tbl>
    <w:p>
      <w:pPr>
        <w:spacing w:line="560" w:lineRule="exact"/>
        <w:ind w:firstLine="600" w:firstLineChars="200"/>
        <w:rPr>
          <w:rFonts w:ascii="黑体" w:eastAsia="黑体"/>
          <w:bCs/>
          <w:sz w:val="30"/>
          <w:szCs w:val="30"/>
        </w:rPr>
      </w:pPr>
      <w:r>
        <w:rPr>
          <w:rFonts w:hint="eastAsia" w:ascii="黑体" w:eastAsia="黑体"/>
          <w:bCs/>
          <w:sz w:val="30"/>
          <w:szCs w:val="30"/>
        </w:rPr>
        <w:t>三、薪酬福利</w:t>
      </w:r>
    </w:p>
    <w:p>
      <w:pPr>
        <w:spacing w:line="560" w:lineRule="exact"/>
        <w:ind w:firstLine="602" w:firstLineChars="200"/>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（一）岗位薪酬</w:t>
      </w:r>
    </w:p>
    <w:p>
      <w:pPr>
        <w:spacing w:line="560" w:lineRule="exact"/>
        <w:ind w:firstLine="600" w:firstLineChars="20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试用期3个月，入职1个月内签订劳动合同。集团执行岗位能力鉴定薪资体系，根据员工岗位能力及历练时间确定其薪酬，当员工满足岗位能力鉴定标准时可以申请更高档位薪酬。</w:t>
      </w:r>
    </w:p>
    <w:p>
      <w:pPr>
        <w:spacing w:line="560" w:lineRule="exact"/>
        <w:ind w:firstLine="600" w:firstLineChars="20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试用期工资（含五险）：大专2</w:t>
      </w:r>
      <w:r>
        <w:rPr>
          <w:rFonts w:ascii="仿宋_GB2312" w:hAnsi="仿宋_GB2312" w:eastAsia="仿宋_GB2312" w:cs="仿宋_GB2312"/>
          <w:bCs/>
          <w:sz w:val="30"/>
          <w:szCs w:val="30"/>
        </w:rPr>
        <w:t>715</w:t>
      </w:r>
      <w:r>
        <w:rPr>
          <w:rFonts w:hint="eastAsia" w:ascii="仿宋_GB2312" w:hAnsi="仿宋_GB2312" w:eastAsia="仿宋_GB2312" w:cs="仿宋_GB2312"/>
          <w:bCs/>
          <w:sz w:val="30"/>
          <w:szCs w:val="30"/>
        </w:rPr>
        <w:t>元/月，本科</w:t>
      </w:r>
      <w:r>
        <w:rPr>
          <w:rFonts w:ascii="仿宋_GB2312" w:hAnsi="仿宋_GB2312" w:eastAsia="仿宋_GB2312" w:cs="仿宋_GB2312"/>
          <w:bCs/>
          <w:sz w:val="30"/>
          <w:szCs w:val="30"/>
        </w:rPr>
        <w:t>3115</w:t>
      </w:r>
      <w:r>
        <w:rPr>
          <w:rFonts w:hint="eastAsia" w:ascii="仿宋_GB2312" w:hAnsi="仿宋_GB2312" w:eastAsia="仿宋_GB2312" w:cs="仿宋_GB2312"/>
          <w:bCs/>
          <w:sz w:val="30"/>
          <w:szCs w:val="30"/>
        </w:rPr>
        <w:t>元/月，研究生3715元/月。转正后工资情况如下：</w:t>
      </w:r>
    </w:p>
    <w:tbl>
      <w:tblPr>
        <w:tblStyle w:val="8"/>
        <w:tblpPr w:leftFromText="180" w:rightFromText="180" w:vertAnchor="text" w:horzAnchor="page" w:tblpXSpec="center" w:tblpY="141"/>
        <w:tblOverlap w:val="never"/>
        <w:tblW w:w="9490" w:type="dxa"/>
        <w:tblCellSpacing w:w="0"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16"/>
        <w:gridCol w:w="2127"/>
        <w:gridCol w:w="1842"/>
        <w:gridCol w:w="1843"/>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11" w:hRule="atLeast"/>
          <w:tblCellSpacing w:w="0" w:type="dxa"/>
        </w:trPr>
        <w:tc>
          <w:tcPr>
            <w:tcW w:w="1716" w:type="dxa"/>
            <w:vMerge w:val="restart"/>
            <w:shd w:val="clear" w:color="auto" w:fill="auto"/>
            <w:vAlign w:val="center"/>
          </w:tcPr>
          <w:p>
            <w:pPr>
              <w:pStyle w:val="4"/>
              <w:widowControl/>
              <w:jc w:val="center"/>
              <w:rPr>
                <w:rFonts w:ascii="仿宋" w:hAnsi="仿宋" w:eastAsia="仿宋" w:cs="仿宋"/>
                <w:bCs/>
                <w:szCs w:val="24"/>
              </w:rPr>
            </w:pPr>
            <w:r>
              <w:rPr>
                <w:rFonts w:hint="eastAsia" w:ascii="仿宋" w:hAnsi="仿宋" w:eastAsia="仿宋" w:cs="仿宋"/>
                <w:bCs/>
                <w:color w:val="000000"/>
                <w:szCs w:val="24"/>
              </w:rPr>
              <w:t>公司</w:t>
            </w:r>
          </w:p>
        </w:tc>
        <w:tc>
          <w:tcPr>
            <w:tcW w:w="5812" w:type="dxa"/>
            <w:gridSpan w:val="3"/>
            <w:shd w:val="clear" w:color="auto" w:fill="auto"/>
            <w:vAlign w:val="center"/>
          </w:tcPr>
          <w:p>
            <w:pPr>
              <w:pStyle w:val="4"/>
              <w:widowControl/>
              <w:jc w:val="center"/>
              <w:rPr>
                <w:rFonts w:ascii="仿宋" w:hAnsi="仿宋" w:eastAsia="仿宋" w:cs="仿宋"/>
                <w:bCs/>
                <w:szCs w:val="24"/>
              </w:rPr>
            </w:pPr>
            <w:r>
              <w:rPr>
                <w:rFonts w:hint="eastAsia" w:ascii="仿宋" w:hAnsi="仿宋" w:eastAsia="仿宋" w:cs="仿宋"/>
                <w:bCs/>
                <w:color w:val="000000"/>
                <w:szCs w:val="24"/>
                <w:lang w:val="en-US" w:eastAsia="zh-CN"/>
              </w:rPr>
              <w:t>各公司</w:t>
            </w:r>
            <w:r>
              <w:rPr>
                <w:rFonts w:hint="eastAsia" w:ascii="仿宋" w:hAnsi="仿宋" w:eastAsia="仿宋" w:cs="仿宋"/>
                <w:bCs/>
                <w:color w:val="000000"/>
                <w:szCs w:val="24"/>
              </w:rPr>
              <w:t>月工资</w:t>
            </w:r>
          </w:p>
        </w:tc>
        <w:tc>
          <w:tcPr>
            <w:tcW w:w="1962"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03" w:hRule="atLeast"/>
          <w:tblCellSpacing w:w="0" w:type="dxa"/>
        </w:trPr>
        <w:tc>
          <w:tcPr>
            <w:tcW w:w="1716" w:type="dxa"/>
            <w:vMerge w:val="continue"/>
            <w:shd w:val="clear" w:color="auto" w:fill="auto"/>
            <w:vAlign w:val="center"/>
          </w:tcPr>
          <w:p>
            <w:pPr>
              <w:rPr>
                <w:rFonts w:ascii="仿宋" w:hAnsi="仿宋" w:eastAsia="仿宋" w:cs="仿宋"/>
                <w:bCs/>
                <w:sz w:val="24"/>
                <w:szCs w:val="24"/>
              </w:rPr>
            </w:pPr>
          </w:p>
        </w:tc>
        <w:tc>
          <w:tcPr>
            <w:tcW w:w="2127"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生产装置</w:t>
            </w:r>
          </w:p>
        </w:tc>
        <w:tc>
          <w:tcPr>
            <w:tcW w:w="1842"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辅助装置</w:t>
            </w:r>
          </w:p>
        </w:tc>
        <w:tc>
          <w:tcPr>
            <w:tcW w:w="1843"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后勤类</w:t>
            </w:r>
          </w:p>
        </w:tc>
        <w:tc>
          <w:tcPr>
            <w:tcW w:w="1962" w:type="dxa"/>
            <w:vMerge w:val="restart"/>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根据公司效益发放年底双薪。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tblCellSpacing w:w="0" w:type="dxa"/>
        </w:trPr>
        <w:tc>
          <w:tcPr>
            <w:tcW w:w="1716"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联合石化</w:t>
            </w:r>
          </w:p>
        </w:tc>
        <w:tc>
          <w:tcPr>
            <w:tcW w:w="2127"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lang w:val="en-US" w:eastAsia="zh-CN"/>
              </w:rPr>
              <w:t>59</w:t>
            </w:r>
            <w:r>
              <w:rPr>
                <w:rFonts w:hint="eastAsia" w:ascii="仿宋" w:hAnsi="仿宋" w:eastAsia="仿宋" w:cs="仿宋"/>
                <w:bCs/>
                <w:color w:val="000000"/>
                <w:szCs w:val="24"/>
              </w:rPr>
              <w:t>00-</w:t>
            </w:r>
            <w:r>
              <w:rPr>
                <w:rFonts w:hint="eastAsia" w:ascii="仿宋" w:hAnsi="仿宋" w:eastAsia="仿宋" w:cs="仿宋"/>
                <w:bCs/>
                <w:color w:val="000000"/>
                <w:szCs w:val="24"/>
                <w:lang w:val="en-US" w:eastAsia="zh-CN"/>
              </w:rPr>
              <w:t>73</w:t>
            </w:r>
            <w:r>
              <w:rPr>
                <w:rFonts w:hint="eastAsia" w:ascii="仿宋" w:hAnsi="仿宋" w:eastAsia="仿宋" w:cs="仿宋"/>
                <w:bCs/>
                <w:color w:val="000000"/>
                <w:szCs w:val="24"/>
              </w:rPr>
              <w:t>00元/月</w:t>
            </w:r>
          </w:p>
        </w:tc>
        <w:tc>
          <w:tcPr>
            <w:tcW w:w="1842" w:type="dxa"/>
            <w:shd w:val="clear" w:color="auto" w:fill="auto"/>
            <w:vAlign w:val="center"/>
          </w:tcPr>
          <w:p>
            <w:pPr>
              <w:pStyle w:val="4"/>
              <w:widowControl/>
              <w:rPr>
                <w:rFonts w:ascii="仿宋" w:hAnsi="仿宋" w:eastAsia="仿宋" w:cs="仿宋"/>
                <w:bCs/>
                <w:szCs w:val="24"/>
              </w:rPr>
            </w:pPr>
            <w:r>
              <w:rPr>
                <w:rFonts w:ascii="仿宋" w:hAnsi="仿宋" w:eastAsia="仿宋" w:cs="仿宋"/>
                <w:bCs/>
                <w:color w:val="000000"/>
                <w:szCs w:val="24"/>
              </w:rPr>
              <w:t>4</w:t>
            </w:r>
            <w:r>
              <w:rPr>
                <w:rFonts w:hint="eastAsia" w:ascii="仿宋" w:hAnsi="仿宋" w:eastAsia="仿宋" w:cs="仿宋"/>
                <w:bCs/>
                <w:color w:val="000000"/>
                <w:szCs w:val="24"/>
                <w:lang w:val="en-US" w:eastAsia="zh-CN"/>
              </w:rPr>
              <w:t>9</w:t>
            </w:r>
            <w:r>
              <w:rPr>
                <w:rFonts w:hint="eastAsia" w:ascii="仿宋" w:hAnsi="仿宋" w:eastAsia="仿宋" w:cs="仿宋"/>
                <w:bCs/>
                <w:color w:val="000000"/>
                <w:szCs w:val="24"/>
              </w:rPr>
              <w:t>00-</w:t>
            </w:r>
            <w:r>
              <w:rPr>
                <w:rFonts w:hint="eastAsia" w:ascii="仿宋" w:hAnsi="仿宋" w:eastAsia="仿宋" w:cs="仿宋"/>
                <w:bCs/>
                <w:color w:val="000000"/>
                <w:szCs w:val="24"/>
                <w:lang w:val="en-US" w:eastAsia="zh-CN"/>
              </w:rPr>
              <w:t>65</w:t>
            </w:r>
            <w:r>
              <w:rPr>
                <w:rFonts w:hint="eastAsia" w:ascii="仿宋" w:hAnsi="仿宋" w:eastAsia="仿宋" w:cs="仿宋"/>
                <w:bCs/>
                <w:color w:val="000000"/>
                <w:szCs w:val="24"/>
              </w:rPr>
              <w:t>00元/月</w:t>
            </w:r>
          </w:p>
        </w:tc>
        <w:tc>
          <w:tcPr>
            <w:tcW w:w="1843"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lang w:val="en-US" w:eastAsia="zh-CN"/>
              </w:rPr>
              <w:t>46</w:t>
            </w:r>
            <w:r>
              <w:rPr>
                <w:rFonts w:hint="eastAsia" w:ascii="仿宋" w:hAnsi="仿宋" w:eastAsia="仿宋" w:cs="仿宋"/>
                <w:bCs/>
                <w:color w:val="000000"/>
                <w:szCs w:val="24"/>
              </w:rPr>
              <w:t>00-</w:t>
            </w:r>
            <w:r>
              <w:rPr>
                <w:rFonts w:hint="eastAsia" w:ascii="仿宋" w:hAnsi="仿宋" w:eastAsia="仿宋" w:cs="仿宋"/>
                <w:bCs/>
                <w:color w:val="000000"/>
                <w:szCs w:val="24"/>
                <w:lang w:val="en-US" w:eastAsia="zh-CN"/>
              </w:rPr>
              <w:t>63</w:t>
            </w:r>
            <w:r>
              <w:rPr>
                <w:rFonts w:hint="eastAsia" w:ascii="仿宋" w:hAnsi="仿宋" w:eastAsia="仿宋" w:cs="仿宋"/>
                <w:bCs/>
                <w:color w:val="000000"/>
                <w:szCs w:val="24"/>
              </w:rPr>
              <w:t>00元/月</w:t>
            </w:r>
          </w:p>
        </w:tc>
        <w:tc>
          <w:tcPr>
            <w:tcW w:w="1962" w:type="dxa"/>
            <w:vMerge w:val="continue"/>
            <w:shd w:val="clear" w:color="auto" w:fill="auto"/>
            <w:vAlign w:val="center"/>
          </w:tcPr>
          <w:p>
            <w:pPr>
              <w:rPr>
                <w:rFonts w:ascii="仿宋" w:hAnsi="仿宋" w:eastAsia="仿宋" w:cs="仿宋"/>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92" w:hRule="atLeast"/>
          <w:tblCellSpacing w:w="0" w:type="dxa"/>
        </w:trPr>
        <w:tc>
          <w:tcPr>
            <w:tcW w:w="1716"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华联石化</w:t>
            </w:r>
          </w:p>
        </w:tc>
        <w:tc>
          <w:tcPr>
            <w:tcW w:w="2127"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lang w:val="en-US" w:eastAsia="zh-CN"/>
              </w:rPr>
              <w:t>52</w:t>
            </w:r>
            <w:r>
              <w:rPr>
                <w:rFonts w:ascii="仿宋" w:hAnsi="仿宋" w:eastAsia="仿宋" w:cs="仿宋"/>
                <w:bCs/>
                <w:color w:val="000000"/>
                <w:szCs w:val="24"/>
              </w:rPr>
              <w:t>00</w:t>
            </w:r>
            <w:r>
              <w:rPr>
                <w:rFonts w:hint="eastAsia" w:ascii="仿宋" w:hAnsi="仿宋" w:eastAsia="仿宋" w:cs="仿宋"/>
                <w:bCs/>
                <w:color w:val="000000"/>
                <w:szCs w:val="24"/>
              </w:rPr>
              <w:t>-</w:t>
            </w:r>
            <w:r>
              <w:rPr>
                <w:rFonts w:hint="eastAsia" w:ascii="仿宋" w:hAnsi="仿宋" w:eastAsia="仿宋" w:cs="仿宋"/>
                <w:bCs/>
                <w:color w:val="000000"/>
                <w:szCs w:val="24"/>
                <w:lang w:val="en-US" w:eastAsia="zh-CN"/>
              </w:rPr>
              <w:t>66</w:t>
            </w:r>
            <w:r>
              <w:rPr>
                <w:rFonts w:hint="eastAsia" w:ascii="仿宋" w:hAnsi="仿宋" w:eastAsia="仿宋" w:cs="仿宋"/>
                <w:bCs/>
                <w:color w:val="000000"/>
                <w:szCs w:val="24"/>
              </w:rPr>
              <w:t>00元/月</w:t>
            </w:r>
          </w:p>
        </w:tc>
        <w:tc>
          <w:tcPr>
            <w:tcW w:w="1842"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lang w:val="en-US" w:eastAsia="zh-CN"/>
              </w:rPr>
              <w:t>42</w:t>
            </w:r>
            <w:r>
              <w:rPr>
                <w:rFonts w:hint="eastAsia" w:ascii="仿宋" w:hAnsi="仿宋" w:eastAsia="仿宋" w:cs="仿宋"/>
                <w:bCs/>
                <w:color w:val="000000"/>
                <w:szCs w:val="24"/>
              </w:rPr>
              <w:t>00-</w:t>
            </w:r>
            <w:r>
              <w:rPr>
                <w:rFonts w:hint="eastAsia" w:ascii="仿宋" w:hAnsi="仿宋" w:eastAsia="仿宋" w:cs="仿宋"/>
                <w:bCs/>
                <w:color w:val="000000"/>
                <w:szCs w:val="24"/>
                <w:lang w:val="en-US" w:eastAsia="zh-CN"/>
              </w:rPr>
              <w:t>580</w:t>
            </w:r>
            <w:r>
              <w:rPr>
                <w:rFonts w:hint="eastAsia" w:ascii="仿宋" w:hAnsi="仿宋" w:eastAsia="仿宋" w:cs="仿宋"/>
                <w:bCs/>
                <w:color w:val="000000"/>
                <w:szCs w:val="24"/>
              </w:rPr>
              <w:t>0元/月</w:t>
            </w:r>
          </w:p>
        </w:tc>
        <w:tc>
          <w:tcPr>
            <w:tcW w:w="1843"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3</w:t>
            </w:r>
            <w:r>
              <w:rPr>
                <w:rFonts w:hint="eastAsia" w:ascii="仿宋" w:hAnsi="仿宋" w:eastAsia="仿宋" w:cs="仿宋"/>
                <w:bCs/>
                <w:color w:val="000000"/>
                <w:szCs w:val="24"/>
                <w:lang w:val="en-US" w:eastAsia="zh-CN"/>
              </w:rPr>
              <w:t>9</w:t>
            </w:r>
            <w:r>
              <w:rPr>
                <w:rFonts w:hint="eastAsia" w:ascii="仿宋" w:hAnsi="仿宋" w:eastAsia="仿宋" w:cs="仿宋"/>
                <w:bCs/>
                <w:color w:val="000000"/>
                <w:szCs w:val="24"/>
              </w:rPr>
              <w:t>00-</w:t>
            </w:r>
            <w:r>
              <w:rPr>
                <w:rFonts w:hint="eastAsia" w:ascii="仿宋" w:hAnsi="仿宋" w:eastAsia="仿宋" w:cs="仿宋"/>
                <w:bCs/>
                <w:color w:val="000000"/>
                <w:szCs w:val="24"/>
                <w:lang w:val="en-US" w:eastAsia="zh-CN"/>
              </w:rPr>
              <w:t>56</w:t>
            </w:r>
            <w:r>
              <w:rPr>
                <w:rFonts w:hint="eastAsia" w:ascii="仿宋" w:hAnsi="仿宋" w:eastAsia="仿宋" w:cs="仿宋"/>
                <w:bCs/>
                <w:color w:val="000000"/>
                <w:szCs w:val="24"/>
              </w:rPr>
              <w:t>00元/月</w:t>
            </w:r>
          </w:p>
        </w:tc>
        <w:tc>
          <w:tcPr>
            <w:tcW w:w="1962" w:type="dxa"/>
            <w:vMerge w:val="continue"/>
            <w:shd w:val="clear" w:color="auto" w:fill="auto"/>
            <w:vAlign w:val="center"/>
          </w:tcPr>
          <w:p>
            <w:pPr>
              <w:rPr>
                <w:rFonts w:ascii="仿宋" w:hAnsi="仿宋" w:eastAsia="仿宋" w:cs="仿宋"/>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83" w:hRule="atLeast"/>
          <w:tblCellSpacing w:w="0" w:type="dxa"/>
        </w:trPr>
        <w:tc>
          <w:tcPr>
            <w:tcW w:w="1716"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东营其他公司</w:t>
            </w:r>
          </w:p>
        </w:tc>
        <w:tc>
          <w:tcPr>
            <w:tcW w:w="2127"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w:t>
            </w:r>
          </w:p>
        </w:tc>
        <w:tc>
          <w:tcPr>
            <w:tcW w:w="1842"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w:t>
            </w:r>
          </w:p>
        </w:tc>
        <w:tc>
          <w:tcPr>
            <w:tcW w:w="1843" w:type="dxa"/>
            <w:shd w:val="clear" w:color="auto" w:fill="auto"/>
            <w:vAlign w:val="center"/>
          </w:tcPr>
          <w:p>
            <w:pPr>
              <w:pStyle w:val="4"/>
              <w:widowControl/>
              <w:rPr>
                <w:rFonts w:ascii="仿宋" w:hAnsi="仿宋" w:eastAsia="仿宋" w:cs="仿宋"/>
                <w:bCs/>
                <w:szCs w:val="24"/>
              </w:rPr>
            </w:pPr>
            <w:r>
              <w:rPr>
                <w:rFonts w:hint="eastAsia" w:ascii="仿宋" w:hAnsi="仿宋" w:eastAsia="仿宋" w:cs="仿宋"/>
                <w:bCs/>
                <w:color w:val="000000"/>
                <w:szCs w:val="24"/>
              </w:rPr>
              <w:t>3</w:t>
            </w:r>
            <w:r>
              <w:rPr>
                <w:rFonts w:hint="eastAsia" w:ascii="仿宋" w:hAnsi="仿宋" w:eastAsia="仿宋" w:cs="仿宋"/>
                <w:bCs/>
                <w:color w:val="000000"/>
                <w:szCs w:val="24"/>
                <w:lang w:val="en-US" w:eastAsia="zh-CN"/>
              </w:rPr>
              <w:t>9</w:t>
            </w:r>
            <w:r>
              <w:rPr>
                <w:rFonts w:hint="eastAsia" w:ascii="仿宋" w:hAnsi="仿宋" w:eastAsia="仿宋" w:cs="仿宋"/>
                <w:bCs/>
                <w:color w:val="000000"/>
                <w:szCs w:val="24"/>
              </w:rPr>
              <w:t>00-</w:t>
            </w:r>
            <w:r>
              <w:rPr>
                <w:rFonts w:hint="eastAsia" w:ascii="仿宋" w:hAnsi="仿宋" w:eastAsia="仿宋" w:cs="仿宋"/>
                <w:bCs/>
                <w:color w:val="000000"/>
                <w:szCs w:val="24"/>
                <w:lang w:val="en-US" w:eastAsia="zh-CN"/>
              </w:rPr>
              <w:t>56</w:t>
            </w:r>
            <w:r>
              <w:rPr>
                <w:rFonts w:hint="eastAsia" w:ascii="仿宋" w:hAnsi="仿宋" w:eastAsia="仿宋" w:cs="仿宋"/>
                <w:bCs/>
                <w:color w:val="000000"/>
                <w:szCs w:val="24"/>
              </w:rPr>
              <w:t>00元/月</w:t>
            </w:r>
          </w:p>
        </w:tc>
        <w:tc>
          <w:tcPr>
            <w:tcW w:w="1962" w:type="dxa"/>
            <w:vMerge w:val="continue"/>
            <w:shd w:val="clear" w:color="auto" w:fill="auto"/>
            <w:vAlign w:val="center"/>
          </w:tcPr>
          <w:p>
            <w:pPr>
              <w:rPr>
                <w:rFonts w:ascii="仿宋" w:hAnsi="仿宋" w:eastAsia="仿宋" w:cs="仿宋"/>
                <w:bCs/>
                <w:sz w:val="30"/>
                <w:szCs w:val="30"/>
              </w:rPr>
            </w:pPr>
          </w:p>
        </w:tc>
      </w:tr>
    </w:tbl>
    <w:p>
      <w:pPr>
        <w:spacing w:line="560" w:lineRule="exact"/>
        <w:rPr>
          <w:rFonts w:ascii="仿宋_GB2312" w:eastAsia="仿宋_GB2312"/>
          <w:b/>
          <w:bCs/>
          <w:sz w:val="30"/>
          <w:szCs w:val="30"/>
        </w:rPr>
      </w:pPr>
      <w:r>
        <w:rPr>
          <w:rFonts w:hint="eastAsia" w:ascii="仿宋_GB2312" w:eastAsia="仿宋_GB2312"/>
          <w:b/>
          <w:bCs/>
          <w:sz w:val="30"/>
          <w:szCs w:val="30"/>
        </w:rPr>
        <w:t xml:space="preserve">    （二）在岗补贴</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公司重视员工的贡献和付出，根据员工个人情况及具体岗位为符合条件的员工发放学历、工龄、通讯费、高温补贴等补贴。</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本科100-300元/月，研究生100-800元/月，博士1500元/月，具体如下：</w:t>
      </w:r>
    </w:p>
    <w:tbl>
      <w:tblPr>
        <w:tblStyle w:val="9"/>
        <w:tblW w:w="97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1789"/>
        <w:gridCol w:w="1790"/>
        <w:gridCol w:w="1519"/>
        <w:gridCol w:w="2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040" w:type="dxa"/>
            <w:vAlign w:val="center"/>
          </w:tcPr>
          <w:p>
            <w:pPr>
              <w:spacing w:line="360" w:lineRule="exact"/>
              <w:jc w:val="center"/>
              <w:rPr>
                <w:rFonts w:ascii="仿宋_GB2312" w:hAnsi="仿宋_GB2312" w:eastAsia="仿宋_GB2312" w:cs="仿宋_GB2312"/>
                <w:b/>
                <w:bCs/>
                <w:szCs w:val="24"/>
              </w:rPr>
            </w:pPr>
            <w:r>
              <w:rPr>
                <w:rFonts w:hint="eastAsia" w:ascii="仿宋_GB2312" w:hAnsi="仿宋_GB2312" w:eastAsia="仿宋_GB2312" w:cs="仿宋_GB2312"/>
                <w:b/>
                <w:bCs/>
                <w:szCs w:val="24"/>
              </w:rPr>
              <w:t>专业</w:t>
            </w:r>
          </w:p>
        </w:tc>
        <w:tc>
          <w:tcPr>
            <w:tcW w:w="1789" w:type="dxa"/>
            <w:vAlign w:val="center"/>
          </w:tcPr>
          <w:p>
            <w:pPr>
              <w:spacing w:line="360" w:lineRule="exact"/>
              <w:jc w:val="center"/>
              <w:rPr>
                <w:rFonts w:ascii="仿宋_GB2312" w:hAnsi="仿宋_GB2312" w:eastAsia="仿宋_GB2312" w:cs="仿宋_GB2312"/>
                <w:b/>
                <w:bCs/>
                <w:szCs w:val="24"/>
              </w:rPr>
            </w:pPr>
            <w:r>
              <w:rPr>
                <w:rFonts w:hint="eastAsia" w:ascii="仿宋_GB2312" w:hAnsi="仿宋_GB2312" w:eastAsia="仿宋_GB2312" w:cs="仿宋_GB2312"/>
                <w:b/>
                <w:bCs/>
                <w:szCs w:val="24"/>
              </w:rPr>
              <w:t>本科</w:t>
            </w:r>
          </w:p>
        </w:tc>
        <w:tc>
          <w:tcPr>
            <w:tcW w:w="1790" w:type="dxa"/>
            <w:vAlign w:val="center"/>
          </w:tcPr>
          <w:p>
            <w:pPr>
              <w:spacing w:line="360" w:lineRule="exact"/>
              <w:jc w:val="center"/>
              <w:rPr>
                <w:rFonts w:ascii="仿宋_GB2312" w:hAnsi="仿宋_GB2312" w:eastAsia="仿宋_GB2312" w:cs="仿宋_GB2312"/>
                <w:b/>
                <w:bCs/>
                <w:szCs w:val="24"/>
              </w:rPr>
            </w:pPr>
            <w:r>
              <w:rPr>
                <w:rFonts w:hint="eastAsia" w:ascii="仿宋_GB2312" w:hAnsi="仿宋_GB2312" w:eastAsia="仿宋_GB2312" w:cs="仿宋_GB2312"/>
                <w:b/>
                <w:bCs/>
                <w:szCs w:val="24"/>
              </w:rPr>
              <w:t>研究生</w:t>
            </w:r>
          </w:p>
        </w:tc>
        <w:tc>
          <w:tcPr>
            <w:tcW w:w="1519" w:type="dxa"/>
            <w:vAlign w:val="center"/>
          </w:tcPr>
          <w:p>
            <w:pPr>
              <w:spacing w:line="360" w:lineRule="exact"/>
              <w:jc w:val="center"/>
              <w:rPr>
                <w:rFonts w:ascii="仿宋_GB2312" w:hAnsi="仿宋_GB2312" w:eastAsia="仿宋_GB2312" w:cs="仿宋_GB2312"/>
                <w:b/>
                <w:bCs/>
                <w:szCs w:val="24"/>
              </w:rPr>
            </w:pPr>
            <w:r>
              <w:rPr>
                <w:rFonts w:hint="eastAsia" w:ascii="仿宋_GB2312" w:hAnsi="仿宋_GB2312" w:eastAsia="仿宋_GB2312" w:cs="仿宋_GB2312"/>
                <w:b/>
                <w:bCs/>
                <w:szCs w:val="24"/>
              </w:rPr>
              <w:t>博士</w:t>
            </w:r>
          </w:p>
        </w:tc>
        <w:tc>
          <w:tcPr>
            <w:tcW w:w="2638" w:type="dxa"/>
            <w:vAlign w:val="center"/>
          </w:tcPr>
          <w:p>
            <w:pPr>
              <w:spacing w:line="360" w:lineRule="exact"/>
              <w:jc w:val="center"/>
              <w:rPr>
                <w:rFonts w:ascii="仿宋_GB2312" w:hAnsi="仿宋_GB2312" w:eastAsia="仿宋_GB2312" w:cs="仿宋_GB2312"/>
                <w:b/>
                <w:bCs/>
                <w:szCs w:val="24"/>
              </w:rPr>
            </w:pPr>
            <w:r>
              <w:rPr>
                <w:rFonts w:hint="eastAsia" w:ascii="仿宋_GB2312" w:hAnsi="仿宋_GB2312" w:eastAsia="仿宋_GB2312" w:cs="仿宋_GB2312"/>
                <w:b/>
                <w:bCs/>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jc w:val="center"/>
        </w:trPr>
        <w:tc>
          <w:tcPr>
            <w:tcW w:w="2040" w:type="dxa"/>
            <w:vAlign w:val="center"/>
          </w:tcPr>
          <w:p>
            <w:pPr>
              <w:spacing w:line="360" w:lineRule="exact"/>
              <w:jc w:val="center"/>
              <w:rPr>
                <w:rFonts w:ascii="仿宋_GB2312" w:hAnsi="仿宋_GB2312" w:eastAsia="仿宋_GB2312" w:cs="仿宋_GB2312"/>
                <w:szCs w:val="24"/>
              </w:rPr>
            </w:pPr>
            <w:r>
              <w:rPr>
                <w:rFonts w:hint="eastAsia" w:ascii="仿宋_GB2312" w:hAnsi="仿宋_GB2312" w:eastAsia="仿宋_GB2312" w:cs="仿宋_GB2312"/>
                <w:szCs w:val="24"/>
              </w:rPr>
              <w:t>一般专业</w:t>
            </w:r>
          </w:p>
        </w:tc>
        <w:tc>
          <w:tcPr>
            <w:tcW w:w="1789" w:type="dxa"/>
            <w:vAlign w:val="center"/>
          </w:tcPr>
          <w:p>
            <w:pPr>
              <w:spacing w:line="360" w:lineRule="exact"/>
              <w:jc w:val="center"/>
              <w:rPr>
                <w:rFonts w:ascii="仿宋_GB2312" w:hAnsi="仿宋_GB2312" w:eastAsia="仿宋_GB2312" w:cs="仿宋_GB2312"/>
                <w:szCs w:val="24"/>
              </w:rPr>
            </w:pPr>
            <w:r>
              <w:rPr>
                <w:rFonts w:hint="eastAsia" w:ascii="仿宋_GB2312" w:hAnsi="仿宋_GB2312" w:eastAsia="仿宋_GB2312" w:cs="仿宋_GB2312"/>
                <w:szCs w:val="24"/>
              </w:rPr>
              <w:t>100元/月</w:t>
            </w:r>
          </w:p>
        </w:tc>
        <w:tc>
          <w:tcPr>
            <w:tcW w:w="1790" w:type="dxa"/>
            <w:vAlign w:val="center"/>
          </w:tcPr>
          <w:p>
            <w:pPr>
              <w:spacing w:line="360" w:lineRule="exact"/>
              <w:jc w:val="center"/>
              <w:rPr>
                <w:rFonts w:ascii="仿宋_GB2312" w:hAnsi="仿宋_GB2312" w:eastAsia="仿宋_GB2312" w:cs="仿宋_GB2312"/>
                <w:szCs w:val="24"/>
              </w:rPr>
            </w:pPr>
            <w:r>
              <w:rPr>
                <w:rFonts w:hint="eastAsia" w:ascii="仿宋_GB2312" w:hAnsi="仿宋_GB2312" w:eastAsia="仿宋_GB2312" w:cs="仿宋_GB2312"/>
                <w:szCs w:val="24"/>
              </w:rPr>
              <w:t>100元/月</w:t>
            </w:r>
          </w:p>
        </w:tc>
        <w:tc>
          <w:tcPr>
            <w:tcW w:w="1519" w:type="dxa"/>
            <w:vMerge w:val="restart"/>
            <w:vAlign w:val="center"/>
          </w:tcPr>
          <w:p>
            <w:pPr>
              <w:spacing w:line="360" w:lineRule="exact"/>
              <w:jc w:val="center"/>
              <w:rPr>
                <w:rFonts w:ascii="仿宋_GB2312" w:hAnsi="仿宋_GB2312" w:eastAsia="仿宋_GB2312" w:cs="仿宋_GB2312"/>
                <w:szCs w:val="24"/>
              </w:rPr>
            </w:pPr>
            <w:r>
              <w:rPr>
                <w:rFonts w:hint="eastAsia" w:ascii="仿宋_GB2312" w:hAnsi="仿宋_GB2312" w:eastAsia="仿宋_GB2312" w:cs="仿宋_GB2312"/>
                <w:szCs w:val="24"/>
              </w:rPr>
              <w:t>1500元/月</w:t>
            </w:r>
          </w:p>
        </w:tc>
        <w:tc>
          <w:tcPr>
            <w:tcW w:w="2638" w:type="dxa"/>
            <w:vMerge w:val="restart"/>
            <w:vAlign w:val="center"/>
          </w:tcPr>
          <w:p>
            <w:pPr>
              <w:spacing w:line="360" w:lineRule="exact"/>
              <w:jc w:val="center"/>
              <w:rPr>
                <w:rFonts w:ascii="仿宋_GB2312" w:hAnsi="仿宋_GB2312" w:eastAsia="仿宋_GB2312" w:cs="仿宋_GB2312"/>
                <w:szCs w:val="24"/>
              </w:rPr>
            </w:pPr>
            <w:r>
              <w:rPr>
                <w:rFonts w:hint="eastAsia" w:ascii="仿宋_GB2312" w:hAnsi="仿宋_GB2312" w:eastAsia="仿宋_GB2312" w:cs="仿宋_GB2312"/>
                <w:szCs w:val="24"/>
              </w:rPr>
              <w:t>艺体特长类不享受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2040" w:type="dxa"/>
            <w:vAlign w:val="center"/>
          </w:tcPr>
          <w:p>
            <w:pPr>
              <w:spacing w:line="360" w:lineRule="exact"/>
              <w:jc w:val="center"/>
              <w:rPr>
                <w:rFonts w:ascii="仿宋_GB2312" w:hAnsi="仿宋_GB2312" w:eastAsia="仿宋_GB2312" w:cs="仿宋_GB2312"/>
                <w:szCs w:val="24"/>
              </w:rPr>
            </w:pPr>
            <w:r>
              <w:rPr>
                <w:rFonts w:hint="eastAsia" w:ascii="仿宋_GB2312" w:hAnsi="仿宋_GB2312" w:eastAsia="仿宋_GB2312" w:cs="仿宋_GB2312"/>
                <w:szCs w:val="24"/>
              </w:rPr>
              <w:t>重点需求专业</w:t>
            </w:r>
          </w:p>
        </w:tc>
        <w:tc>
          <w:tcPr>
            <w:tcW w:w="1789" w:type="dxa"/>
            <w:vAlign w:val="center"/>
          </w:tcPr>
          <w:p>
            <w:pPr>
              <w:spacing w:line="360" w:lineRule="exact"/>
              <w:jc w:val="center"/>
              <w:rPr>
                <w:rFonts w:ascii="仿宋_GB2312" w:hAnsi="仿宋_GB2312" w:eastAsia="仿宋_GB2312" w:cs="仿宋_GB2312"/>
                <w:szCs w:val="24"/>
              </w:rPr>
            </w:pPr>
            <w:r>
              <w:rPr>
                <w:rFonts w:hint="eastAsia" w:ascii="仿宋_GB2312" w:hAnsi="仿宋_GB2312" w:eastAsia="仿宋_GB2312" w:cs="仿宋_GB2312"/>
                <w:szCs w:val="24"/>
              </w:rPr>
              <w:t>300元/月</w:t>
            </w:r>
          </w:p>
        </w:tc>
        <w:tc>
          <w:tcPr>
            <w:tcW w:w="1790" w:type="dxa"/>
            <w:vAlign w:val="center"/>
          </w:tcPr>
          <w:p>
            <w:pPr>
              <w:spacing w:line="360" w:lineRule="exact"/>
              <w:jc w:val="center"/>
              <w:rPr>
                <w:rFonts w:ascii="仿宋_GB2312" w:hAnsi="仿宋_GB2312" w:eastAsia="仿宋_GB2312" w:cs="仿宋_GB2312"/>
                <w:szCs w:val="24"/>
              </w:rPr>
            </w:pPr>
            <w:r>
              <w:rPr>
                <w:rFonts w:hint="eastAsia" w:ascii="仿宋_GB2312" w:hAnsi="仿宋_GB2312" w:eastAsia="仿宋_GB2312" w:cs="仿宋_GB2312"/>
                <w:szCs w:val="24"/>
              </w:rPr>
              <w:t>800元/月</w:t>
            </w:r>
          </w:p>
        </w:tc>
        <w:tc>
          <w:tcPr>
            <w:tcW w:w="1519" w:type="dxa"/>
            <w:vMerge w:val="continue"/>
            <w:vAlign w:val="center"/>
          </w:tcPr>
          <w:p>
            <w:pPr>
              <w:spacing w:line="360" w:lineRule="exact"/>
              <w:jc w:val="center"/>
              <w:rPr>
                <w:rFonts w:ascii="仿宋_GB2312" w:hAnsi="仿宋_GB2312" w:eastAsia="仿宋_GB2312" w:cs="仿宋_GB2312"/>
                <w:szCs w:val="24"/>
              </w:rPr>
            </w:pPr>
          </w:p>
        </w:tc>
        <w:tc>
          <w:tcPr>
            <w:tcW w:w="2638" w:type="dxa"/>
            <w:vMerge w:val="continue"/>
            <w:vAlign w:val="center"/>
          </w:tcPr>
          <w:p>
            <w:pPr>
              <w:spacing w:line="360" w:lineRule="exact"/>
              <w:jc w:val="center"/>
              <w:rPr>
                <w:rFonts w:ascii="仿宋_GB2312" w:hAnsi="仿宋_GB2312" w:eastAsia="仿宋_GB2312" w:cs="仿宋_GB2312"/>
                <w:szCs w:val="24"/>
              </w:rPr>
            </w:pPr>
          </w:p>
        </w:tc>
      </w:tr>
    </w:tbl>
    <w:p>
      <w:pPr>
        <w:spacing w:line="560" w:lineRule="exact"/>
        <w:ind w:firstLine="602" w:firstLineChars="200"/>
        <w:rPr>
          <w:rFonts w:ascii="仿宋_GB2312" w:eastAsia="仿宋_GB2312"/>
          <w:b/>
          <w:bCs/>
          <w:sz w:val="30"/>
          <w:szCs w:val="30"/>
        </w:rPr>
      </w:pPr>
      <w:r>
        <w:rPr>
          <w:rFonts w:hint="eastAsia" w:ascii="仿宋_GB2312" w:eastAsia="仿宋_GB2312"/>
          <w:b/>
          <w:bCs/>
          <w:sz w:val="30"/>
          <w:szCs w:val="30"/>
        </w:rPr>
        <w:t>（三）保障福利</w:t>
      </w:r>
    </w:p>
    <w:p>
      <w:pPr>
        <w:spacing w:line="560" w:lineRule="exact"/>
        <w:ind w:firstLine="602" w:firstLineChars="200"/>
        <w:rPr>
          <w:rFonts w:ascii="仿宋_GB2312" w:eastAsia="仿宋_GB2312"/>
          <w:bCs/>
          <w:sz w:val="30"/>
          <w:szCs w:val="30"/>
        </w:rPr>
      </w:pPr>
      <w:r>
        <w:rPr>
          <w:rFonts w:hint="eastAsia" w:ascii="仿宋_GB2312" w:eastAsia="仿宋_GB2312"/>
          <w:b/>
          <w:bCs/>
          <w:sz w:val="30"/>
          <w:szCs w:val="30"/>
        </w:rPr>
        <w:t>五险一金：</w:t>
      </w:r>
      <w:r>
        <w:rPr>
          <w:rFonts w:hint="eastAsia" w:ascii="仿宋_GB2312" w:eastAsia="仿宋_GB2312"/>
          <w:bCs/>
          <w:sz w:val="30"/>
          <w:szCs w:val="30"/>
        </w:rPr>
        <w:t>公司根据国家有关规定，在入职次月即为员工缴纳养老保险、医疗保险、失业保险、生育保险、工伤保险。转正之后为员工缴纳住房公积金。</w:t>
      </w:r>
    </w:p>
    <w:p>
      <w:pPr>
        <w:spacing w:line="560" w:lineRule="exact"/>
        <w:ind w:firstLine="602" w:firstLineChars="200"/>
        <w:rPr>
          <w:rFonts w:ascii="仿宋_GB2312" w:eastAsia="仿宋_GB2312"/>
          <w:bCs/>
          <w:sz w:val="30"/>
          <w:szCs w:val="30"/>
        </w:rPr>
      </w:pPr>
      <w:r>
        <w:rPr>
          <w:rFonts w:hint="eastAsia" w:ascii="仿宋_GB2312" w:eastAsia="仿宋_GB2312"/>
          <w:b/>
          <w:bCs/>
          <w:sz w:val="30"/>
          <w:szCs w:val="30"/>
        </w:rPr>
        <w:t>集体公寓：</w:t>
      </w:r>
      <w:r>
        <w:rPr>
          <w:rFonts w:hint="eastAsia" w:ascii="仿宋_GB2312" w:eastAsia="仿宋_GB2312"/>
          <w:bCs/>
          <w:sz w:val="30"/>
          <w:szCs w:val="30"/>
        </w:rPr>
        <w:t>公司为员工免费提供空调宿舍、浴室，并在生活区建有成本价餐厅等基础设施。</w:t>
      </w:r>
    </w:p>
    <w:p>
      <w:pPr>
        <w:spacing w:line="560" w:lineRule="exact"/>
        <w:ind w:firstLine="602" w:firstLineChars="200"/>
        <w:rPr>
          <w:rFonts w:ascii="仿宋_GB2312" w:eastAsia="仿宋_GB2312"/>
          <w:bCs/>
          <w:sz w:val="30"/>
          <w:szCs w:val="30"/>
        </w:rPr>
      </w:pPr>
      <w:r>
        <w:rPr>
          <w:rFonts w:hint="eastAsia" w:ascii="仿宋_GB2312" w:eastAsia="仿宋_GB2312"/>
          <w:b/>
          <w:bCs/>
          <w:sz w:val="30"/>
          <w:szCs w:val="30"/>
        </w:rPr>
        <w:t>健康保障：</w:t>
      </w:r>
      <w:r>
        <w:rPr>
          <w:rFonts w:hint="eastAsia" w:ascii="仿宋_GB2312" w:eastAsia="仿宋_GB2312"/>
          <w:bCs/>
          <w:sz w:val="30"/>
          <w:szCs w:val="30"/>
        </w:rPr>
        <w:t>公司每年定期为员工组织免费健康体检，发放劳保用品（工作服、洗护用品、毛巾、手套、安全帽等）。</w:t>
      </w:r>
    </w:p>
    <w:p>
      <w:pPr>
        <w:spacing w:line="560" w:lineRule="exact"/>
        <w:ind w:firstLine="602" w:firstLineChars="200"/>
        <w:rPr>
          <w:rFonts w:ascii="仿宋_GB2312" w:eastAsia="仿宋_GB2312"/>
          <w:bCs/>
          <w:sz w:val="30"/>
          <w:szCs w:val="30"/>
        </w:rPr>
      </w:pPr>
      <w:r>
        <w:rPr>
          <w:rFonts w:hint="eastAsia" w:ascii="仿宋_GB2312" w:eastAsia="仿宋_GB2312"/>
          <w:b/>
          <w:bCs/>
          <w:sz w:val="30"/>
          <w:szCs w:val="30"/>
        </w:rPr>
        <w:t>生活休闲：</w:t>
      </w:r>
      <w:r>
        <w:rPr>
          <w:rFonts w:hint="eastAsia" w:ascii="仿宋_GB2312" w:eastAsia="仿宋_GB2312"/>
          <w:bCs/>
          <w:sz w:val="30"/>
          <w:szCs w:val="30"/>
        </w:rPr>
        <w:t>公司为员工提供往返班车，生活区内建有篮球场、足球场、乒乓球台、活动室、图书室等。</w:t>
      </w:r>
    </w:p>
    <w:p>
      <w:pPr>
        <w:spacing w:line="560" w:lineRule="exact"/>
        <w:ind w:firstLine="602" w:firstLineChars="200"/>
        <w:rPr>
          <w:rFonts w:ascii="黑体" w:eastAsia="黑体"/>
          <w:sz w:val="30"/>
          <w:szCs w:val="30"/>
        </w:rPr>
      </w:pPr>
      <w:r>
        <w:rPr>
          <w:rFonts w:hint="eastAsia" w:ascii="仿宋_GB2312" w:eastAsia="仿宋_GB2312"/>
          <w:b/>
          <w:bCs/>
          <w:sz w:val="30"/>
          <w:szCs w:val="30"/>
        </w:rPr>
        <w:t>节日福利：</w:t>
      </w:r>
      <w:r>
        <w:rPr>
          <w:rFonts w:hint="eastAsia" w:ascii="仿宋_GB2312" w:eastAsia="仿宋_GB2312"/>
          <w:bCs/>
          <w:sz w:val="30"/>
          <w:szCs w:val="30"/>
        </w:rPr>
        <w:t>公司每年为员工发放妇女节、中秋节、春节福利。另外，公司还为员工提供多样化的生日福利。</w:t>
      </w:r>
    </w:p>
    <w:p>
      <w:pPr>
        <w:spacing w:line="560" w:lineRule="exact"/>
        <w:ind w:firstLine="602" w:firstLineChars="200"/>
        <w:rPr>
          <w:rFonts w:ascii="仿宋_GB2312" w:eastAsia="仿宋_GB2312"/>
          <w:b/>
          <w:sz w:val="30"/>
          <w:szCs w:val="30"/>
        </w:rPr>
      </w:pPr>
      <w:r>
        <w:rPr>
          <w:rFonts w:hint="eastAsia" w:ascii="仿宋_GB2312" w:eastAsia="仿宋_GB2312"/>
          <w:b/>
          <w:bCs/>
          <w:sz w:val="30"/>
          <w:szCs w:val="30"/>
        </w:rPr>
        <w:t>（四）休息休假</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公司充分保证员工休息休假的权利，员工上班分为白班、四班三倒（上班8小时，休息24小时）等方式。入职后享受国家法定节假日，另有年休假、探亲假、陪护假等假期。</w:t>
      </w:r>
    </w:p>
    <w:p>
      <w:pPr>
        <w:spacing w:line="560" w:lineRule="exact"/>
        <w:ind w:firstLine="600" w:firstLineChars="200"/>
        <w:rPr>
          <w:rFonts w:ascii="黑体" w:eastAsia="黑体"/>
          <w:bCs/>
          <w:sz w:val="30"/>
          <w:szCs w:val="30"/>
        </w:rPr>
      </w:pPr>
      <w:r>
        <w:rPr>
          <w:rFonts w:hint="eastAsia" w:ascii="黑体" w:eastAsia="黑体"/>
          <w:bCs/>
          <w:sz w:val="30"/>
          <w:szCs w:val="30"/>
        </w:rPr>
        <w:t>四、招聘流程</w:t>
      </w:r>
    </w:p>
    <w:p>
      <w:pPr>
        <w:spacing w:line="560" w:lineRule="exact"/>
        <w:ind w:firstLine="600" w:firstLineChars="200"/>
        <w:rPr>
          <w:rFonts w:ascii="仿宋_GB2312" w:eastAsia="仿宋_GB2312"/>
          <w:bCs/>
          <w:sz w:val="30"/>
          <w:szCs w:val="30"/>
        </w:rPr>
      </w:pPr>
      <w:r>
        <w:rPr>
          <w:rFonts w:ascii="仿宋_GB2312" w:eastAsia="仿宋_GB2312"/>
          <w:bCs/>
          <w:sz w:val="30"/>
          <w:szCs w:val="30"/>
        </w:rPr>
        <mc:AlternateContent>
          <mc:Choice Requires="wps">
            <w:drawing>
              <wp:anchor distT="0" distB="0" distL="114300" distR="114300" simplePos="0" relativeHeight="251656192" behindDoc="0" locked="0" layoutInCell="1" allowOverlap="1">
                <wp:simplePos x="0" y="0"/>
                <wp:positionH relativeFrom="column">
                  <wp:posOffset>239395</wp:posOffset>
                </wp:positionH>
                <wp:positionV relativeFrom="paragraph">
                  <wp:posOffset>570865</wp:posOffset>
                </wp:positionV>
                <wp:extent cx="361950" cy="635"/>
                <wp:effectExtent l="9525" t="55245" r="19050" b="58420"/>
                <wp:wrapNone/>
                <wp:docPr id="5" name="AutoShape 7"/>
                <wp:cNvGraphicFramePr/>
                <a:graphic xmlns:a="http://schemas.openxmlformats.org/drawingml/2006/main">
                  <a:graphicData uri="http://schemas.microsoft.com/office/word/2010/wordprocessingShape">
                    <wps:wsp>
                      <wps:cNvCnPr>
                        <a:cxnSpLocks noChangeShapeType="1"/>
                      </wps:cNvCnPr>
                      <wps:spPr bwMode="auto">
                        <a:xfrm>
                          <a:off x="0" y="0"/>
                          <a:ext cx="361950" cy="635"/>
                        </a:xfrm>
                        <a:prstGeom prst="straightConnector1">
                          <a:avLst/>
                        </a:prstGeom>
                        <a:noFill/>
                        <a:ln w="9525">
                          <a:solidFill>
                            <a:srgbClr val="000000"/>
                          </a:solidFill>
                          <a:round/>
                          <a:tailEnd type="triangle" w="med" len="med"/>
                        </a:ln>
                      </wps:spPr>
                      <wps:bodyPr/>
                    </wps:wsp>
                  </a:graphicData>
                </a:graphic>
              </wp:anchor>
            </w:drawing>
          </mc:Choice>
          <mc:Fallback>
            <w:pict>
              <v:shape id="AutoShape 7" o:spid="_x0000_s1026" o:spt="32" type="#_x0000_t32" style="position:absolute;left:0pt;margin-left:18.85pt;margin-top:44.95pt;height:0.05pt;width:28.5pt;z-index:251656192;mso-width-relative:page;mso-height-relative:page;" filled="f" stroked="t" coordsize="21600,21600" o:gfxdata="UEsDBAoAAAAAAIdO4kAAAAAAAAAAAAAAAAAEAAAAZHJzL1BLAwQUAAAACACHTuJAZdcZ8tcAAAAH&#10;AQAADwAAAGRycy9kb3ducmV2LnhtbE2OzU7DMBCE70i8g7VI3KhdQGkT4lSCCpFLkWgR4ujGSxwR&#10;r6PY/ePpu5zgNBrNaOYrF0ffiz2OsQukYTpRIJCaYDtqNbxvnm/mIGIyZE0fCDWcMMKiurwoTWHD&#10;gd5wv06t4BGKhdHgUhoKKWPj0Js4CQMSZ19h9CaxHVtpR3Pgcd/LW6Uy6U1H/ODMgE8Om+/1zmtI&#10;y8+Tyz6ax7x73byssu6nruul1tdXU/UAIuEx/ZXhF5/RoWKmbdiRjaLXcDebcVPDPM9BcJ7fs9+y&#10;KgWyKuV//uoMUEsDBBQAAAAIAIdO4kDtgNT41QEAAJMDAAAOAAAAZHJzL2Uyb0RvYy54bWytU8Fu&#10;GyEQvVfqPyDu9Xod2W1WXkeV0/SStpaSfgAGdhcVGDRg7/rvO2DHbdpbVQ4ImJk3b94M67vJWXbU&#10;GA34ltezOWfaS1DG9y3//vzw7gNnMQmvhAWvW37Skd9t3r5Zj6HRCxjAKo2MQHxsxtDyIaXQVFWU&#10;g3YiziBoT8YO0IlEV+wrhWIkdGerxXy+qkZAFRCkjpFe789Gvin4Xadl+tZ1USdmW07cUtmx7Pu8&#10;V5u1aHoUYTDyQkP8AwsnjKekV6h7kQQ7oPkLyhmJEKFLMwmugq4zUpcaqJp6/kc1T4MIutRC4sRw&#10;lSn+P1j59bhDZlTLl5x54ahFHw8JSmb2PsszhtiQ19bvMBcoJ/8UHkH+iMzDdhC+18X5+RQots4R&#10;1auQfImBkuzHL6DIRxB+0Wrq0GVIUoFNpSWna0v0lJikx5tVfbukxkkyrW6WBV40L5EBY/qswbF8&#10;aHlMKEw/pC14T50HrEsecXyMKfMSzUtATuvhwVhbBsB6Nrb8drlYloAI1qhszG4R+/3WIjuKPEJl&#10;XVi8ckM4eFXAkjD2k1csFUUSGtLIap4zOK04s5p+Sj6dKVl/USyLdJZ7D+q0w2zO4lHnC/fLlObR&#10;+v1evH79pc1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dcZ8tcAAAAHAQAADwAAAAAAAAABACAA&#10;AAAiAAAAZHJzL2Rvd25yZXYueG1sUEsBAhQAFAAAAAgAh07iQO2A1PjVAQAAkwMAAA4AAAAAAAAA&#10;AQAgAAAAJgEAAGRycy9lMm9Eb2MueG1sUEsFBgAAAAAGAAYAWQEAAG0FAAAAAA==&#10;">
                <v:fill on="f" focussize="0,0"/>
                <v:stroke color="#000000" joinstyle="round" endarrow="block"/>
                <v:imagedata o:title=""/>
                <o:lock v:ext="edit" aspectratio="f"/>
              </v:shape>
            </w:pict>
          </mc:Fallback>
        </mc:AlternateContent>
      </w:r>
      <w:r>
        <w:rPr>
          <w:rFonts w:ascii="仿宋_GB2312" w:eastAsia="仿宋_GB2312"/>
          <w:bCs/>
          <w:sz w:val="30"/>
          <w:szCs w:val="30"/>
        </w:rPr>
        <mc:AlternateContent>
          <mc:Choice Requires="wps">
            <w:drawing>
              <wp:anchor distT="0" distB="0" distL="114300" distR="114300" simplePos="0" relativeHeight="251657216" behindDoc="0" locked="0" layoutInCell="1" allowOverlap="1">
                <wp:simplePos x="0" y="0"/>
                <wp:positionH relativeFrom="column">
                  <wp:posOffset>4878070</wp:posOffset>
                </wp:positionH>
                <wp:positionV relativeFrom="paragraph">
                  <wp:posOffset>208915</wp:posOffset>
                </wp:positionV>
                <wp:extent cx="247650" cy="0"/>
                <wp:effectExtent l="9525" t="55245" r="19050" b="59055"/>
                <wp:wrapNone/>
                <wp:docPr id="4" name="AutoShape 6"/>
                <wp:cNvGraphicFramePr/>
                <a:graphic xmlns:a="http://schemas.openxmlformats.org/drawingml/2006/main">
                  <a:graphicData uri="http://schemas.microsoft.com/office/word/2010/wordprocessingShape">
                    <wps:wsp>
                      <wps:cNvCnPr>
                        <a:cxnSpLocks noChangeShapeType="1"/>
                      </wps:cNvCnPr>
                      <wps:spPr bwMode="auto">
                        <a:xfrm>
                          <a:off x="0" y="0"/>
                          <a:ext cx="247650" cy="0"/>
                        </a:xfrm>
                        <a:prstGeom prst="straightConnector1">
                          <a:avLst/>
                        </a:prstGeom>
                        <a:noFill/>
                        <a:ln w="9525">
                          <a:solidFill>
                            <a:srgbClr val="000000"/>
                          </a:solidFill>
                          <a:round/>
                          <a:tailEnd type="triangle" w="med" len="med"/>
                        </a:ln>
                      </wps:spPr>
                      <wps:bodyPr/>
                    </wps:wsp>
                  </a:graphicData>
                </a:graphic>
              </wp:anchor>
            </w:drawing>
          </mc:Choice>
          <mc:Fallback>
            <w:pict>
              <v:shape id="AutoShape 6" o:spid="_x0000_s1026" o:spt="32" type="#_x0000_t32" style="position:absolute;left:0pt;margin-left:384.1pt;margin-top:16.45pt;height:0pt;width:19.5pt;z-index:251657216;mso-width-relative:page;mso-height-relative:page;" filled="f" stroked="t" coordsize="21600,21600" o:gfxdata="UEsDBAoAAAAAAIdO4kAAAAAAAAAAAAAAAAAEAAAAZHJzL1BLAwQUAAAACACHTuJA6PX2VNkAAAAJ&#10;AQAADwAAAGRycy9kb3ducmV2LnhtbE2Py07DMBBF90j8gzVI7KjdIKVpGqcSVIhsQGqLUJduPMQW&#10;sR3F7ouvZxALWM6doztnquXZ9eyIY7TBS5hOBDD0bdDWdxLetk93BbCYlNeqDx4lXDDCsr6+qlSp&#10;w8mv8bhJHaMSH0slwaQ0lJzH1qBTcRIG9LT7CKNTicax43pUJyp3Pc+EyLlT1tMFowZ8NNh+bg5O&#10;QlrtLiZ/bx/m9nX7/JLbr6ZpVlLe3kzFAljCc/qD4Uef1KEmp304eB1ZL2GWFxmhEu6zOTACCjGj&#10;YP8b8Lri/z+ovwFQSwMEFAAAAAgAh07iQEAGBt7TAQAAkQMAAA4AAABkcnMvZTJvRG9jLnhtbK1T&#10;TW8bIRC9V+p/QNzrta3YbVdeR5XT9JK2lpL8AAzsLiowaMDe9b/vgD+StreoHBDDzLyZeQ9Wt6Oz&#10;7KAxGvANn02mnGkvQRnfNfz56f7DJ85iEl4JC143/Kgjv12/f7caQq3n0INVGhmB+FgPoeF9SqGu&#10;qih77UScQNCenC2gE4lM7CqFYiB0Z6v5dLqsBkAVEKSOkW7vTk6+Lvhtq2X62bZRJ2YbTr2lsmPZ&#10;d3mv1itRdyhCb+S5DfGGLpwwnopeoe5EEmyP5h8oZyRChDZNJLgK2tZIXWagaWbTv6Z57EXQZRYi&#10;J4YrTfH/wcofhy0yoxp+w5kXjiT6sk9QKrNlpmcIsaaojd9iHlCO/jE8gPwVmYdNL3ynS/DTMVDu&#10;LGdUf6RkIwYqshu+g6IYQfiFq7FFlyGJBTYWSY5XSfSYmKTL+c3H5YKEkxdXJepLXsCYvmlwLB8a&#10;HhMK0/VpA96T7oCzUkUcHmLKXYn6kpCLerg31hb5rWdDwz8v5ouSEMEalZ05LGK321hkB5EfUFll&#10;RPK8DkPYe1XAkjD2q1csFT4SGmLIap4rOK04s5r+ST6dWrL+zFem6ET2DtRxi9mdqSPdS+/nN5of&#10;1mu7RL38pP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6PX2VNkAAAAJAQAADwAAAAAAAAABACAA&#10;AAAiAAAAZHJzL2Rvd25yZXYueG1sUEsBAhQAFAAAAAgAh07iQEAGBt7TAQAAkQMAAA4AAAAAAAAA&#10;AQAgAAAAKAEAAGRycy9lMm9Eb2MueG1sUEsFBgAAAAAGAAYAWQEAAG0FAAAAAA==&#10;">
                <v:fill on="f" focussize="0,0"/>
                <v:stroke color="#000000" joinstyle="round" endarrow="block"/>
                <v:imagedata o:title=""/>
                <o:lock v:ext="edit" aspectratio="f"/>
              </v:shape>
            </w:pict>
          </mc:Fallback>
        </mc:AlternateContent>
      </w:r>
      <w:r>
        <w:rPr>
          <w:rFonts w:ascii="仿宋_GB2312" w:eastAsia="仿宋_GB2312"/>
          <w:bCs/>
          <w:sz w:val="30"/>
          <w:szCs w:val="30"/>
        </w:rPr>
        <mc:AlternateContent>
          <mc:Choice Requires="wps">
            <w:drawing>
              <wp:anchor distT="0" distB="0" distL="114300" distR="114300" simplePos="0" relativeHeight="251658240" behindDoc="0" locked="0" layoutInCell="1" allowOverlap="1">
                <wp:simplePos x="0" y="0"/>
                <wp:positionH relativeFrom="column">
                  <wp:posOffset>3839845</wp:posOffset>
                </wp:positionH>
                <wp:positionV relativeFrom="paragraph">
                  <wp:posOffset>208915</wp:posOffset>
                </wp:positionV>
                <wp:extent cx="247650" cy="0"/>
                <wp:effectExtent l="9525" t="55245" r="19050" b="59055"/>
                <wp:wrapNone/>
                <wp:docPr id="3" name="AutoShape 5"/>
                <wp:cNvGraphicFramePr/>
                <a:graphic xmlns:a="http://schemas.openxmlformats.org/drawingml/2006/main">
                  <a:graphicData uri="http://schemas.microsoft.com/office/word/2010/wordprocessingShape">
                    <wps:wsp>
                      <wps:cNvCnPr>
                        <a:cxnSpLocks noChangeShapeType="1"/>
                      </wps:cNvCnPr>
                      <wps:spPr bwMode="auto">
                        <a:xfrm>
                          <a:off x="0" y="0"/>
                          <a:ext cx="247650" cy="0"/>
                        </a:xfrm>
                        <a:prstGeom prst="straightConnector1">
                          <a:avLst/>
                        </a:prstGeom>
                        <a:noFill/>
                        <a:ln w="9525">
                          <a:solidFill>
                            <a:srgbClr val="000000"/>
                          </a:solidFill>
                          <a:round/>
                          <a:tailEnd type="triangle" w="med" len="med"/>
                        </a:ln>
                      </wps:spPr>
                      <wps:bodyPr/>
                    </wps:wsp>
                  </a:graphicData>
                </a:graphic>
              </wp:anchor>
            </w:drawing>
          </mc:Choice>
          <mc:Fallback>
            <w:pict>
              <v:shape id="AutoShape 5" o:spid="_x0000_s1026" o:spt="32" type="#_x0000_t32" style="position:absolute;left:0pt;margin-left:302.35pt;margin-top:16.45pt;height:0pt;width:19.5pt;z-index:251658240;mso-width-relative:page;mso-height-relative:page;" filled="f" stroked="t" coordsize="21600,21600" o:gfxdata="UEsDBAoAAAAAAIdO4kAAAAAAAAAAAAAAAAAEAAAAZHJzL1BLAwQUAAAACACHTuJAiDCudNgAAAAJ&#10;AQAADwAAAGRycy9kb3ducmV2LnhtbE2PTUsDMRCG74L/IYzgzSb9ILbrZgtaxL0o2BbxmG7iJriZ&#10;LJv0y1/viAc9zjsP7zxTLk+hYwc7JB9RwXgkgFlsovHYKthuHm/mwFLWaHQX0So42wTL6vKi1IWJ&#10;R3y1h3VuGZVgKrQCl3NfcJ4aZ4NOo9hbpN1HHILONA4tN4M+Unno+EQIyYP2SBec7u2Ds83neh8U&#10;5NX72cm35n7hXzZPz9J/1XW9Uur6aizugGV7yn8w/OiTOlTktIt7NIl1CqSY3RKqYDpZACNAzqYU&#10;7H4DXpX8/wfVN1BLAwQUAAAACACHTuJA14AI/NMBAACRAwAADgAAAGRycy9lMm9Eb2MueG1srVNN&#10;jxMxDL0j8R+i3Om0hS4w6nSFuiyXha20yw9wk8xMRCaOnLTT/nuc9IMFbogcoji2n+33kuXtYXBi&#10;byha9I2cTaZSGK9QW9818vvz/ZsPUsQEXoNDbxp5NFHerl6/Wo6hNnPs0WlDgkF8rMfQyD6lUFdV&#10;VL0ZIE4wGM/OFmmAxCZ1lSYYGX1w1Xw6valGJB0IlYmRb+9OTrkq+G1rVHps22iScI3k3lLZqezb&#10;vFerJdQdQeitOrcB/9DFANZz0SvUHSQQO7J/QQ1WEUZs00ThUGHbWmXKDDzNbPrHNE89BFNmYXJi&#10;uNIU/x+s+rbfkLC6kW+l8DCwRJ92CUtlscj0jCHWHLX2G8oDqoN/Cg+ofkThcd2D70wJfj4Gzp3l&#10;jOq3lGzEwEW241fUHAOMX7g6tDRkSGZBHIokx6sk5pCE4sv5u/c3CxZOXVwV1Je8QDF9MTiIfGhk&#10;TAS269MavWfdkWalCuwfYspdQX1JyEU93lvnivzOi7GRHxfzRUmI6KzOzhwWqduuHYk95AdUVhmR&#10;PS/DCHdeF7AE1n32WqTCRyLLDDkjc4XBaCmc4X+ST6eWnD/zlSk6kb1FfdxQdmfqWPfS+/mN5of1&#10;0i5Rv37S6i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IMK502AAAAAkBAAAPAAAAAAAAAAEAIAAA&#10;ACIAAABkcnMvZG93bnJldi54bWxQSwECFAAUAAAACACHTuJA14AI/NMBAACRAwAADgAAAAAAAAAB&#10;ACAAAAAnAQAAZHJzL2Uyb0RvYy54bWxQSwUGAAAAAAYABgBZAQAAbAUAAAAA&#10;">
                <v:fill on="f" focussize="0,0"/>
                <v:stroke color="#000000" joinstyle="round" endarrow="block"/>
                <v:imagedata o:title=""/>
                <o:lock v:ext="edit" aspectratio="f"/>
              </v:shape>
            </w:pict>
          </mc:Fallback>
        </mc:AlternateContent>
      </w:r>
      <w:r>
        <w:rPr>
          <w:rFonts w:ascii="仿宋_GB2312" w:eastAsia="仿宋_GB2312"/>
          <w:bCs/>
          <w:sz w:val="30"/>
          <w:szCs w:val="30"/>
        </w:rPr>
        <mc:AlternateContent>
          <mc:Choice Requires="wps">
            <w:drawing>
              <wp:anchor distT="0" distB="0" distL="114300" distR="114300" simplePos="0" relativeHeight="251658240" behindDoc="0" locked="0" layoutInCell="1" allowOverlap="1">
                <wp:simplePos x="0" y="0"/>
                <wp:positionH relativeFrom="column">
                  <wp:posOffset>2773045</wp:posOffset>
                </wp:positionH>
                <wp:positionV relativeFrom="paragraph">
                  <wp:posOffset>227965</wp:posOffset>
                </wp:positionV>
                <wp:extent cx="247650" cy="0"/>
                <wp:effectExtent l="9525" t="55245" r="19050" b="59055"/>
                <wp:wrapNone/>
                <wp:docPr id="2" name="AutoShape 4"/>
                <wp:cNvGraphicFramePr/>
                <a:graphic xmlns:a="http://schemas.openxmlformats.org/drawingml/2006/main">
                  <a:graphicData uri="http://schemas.microsoft.com/office/word/2010/wordprocessingShape">
                    <wps:wsp>
                      <wps:cNvCnPr>
                        <a:cxnSpLocks noChangeShapeType="1"/>
                      </wps:cNvCnPr>
                      <wps:spPr bwMode="auto">
                        <a:xfrm>
                          <a:off x="0" y="0"/>
                          <a:ext cx="247650" cy="0"/>
                        </a:xfrm>
                        <a:prstGeom prst="straightConnector1">
                          <a:avLst/>
                        </a:prstGeom>
                        <a:noFill/>
                        <a:ln w="9525">
                          <a:solidFill>
                            <a:srgbClr val="000000"/>
                          </a:solidFill>
                          <a:round/>
                          <a:tailEnd type="triangle" w="med" len="med"/>
                        </a:ln>
                      </wps:spPr>
                      <wps:bodyPr/>
                    </wps:wsp>
                  </a:graphicData>
                </a:graphic>
              </wp:anchor>
            </w:drawing>
          </mc:Choice>
          <mc:Fallback>
            <w:pict>
              <v:shape id="AutoShape 4" o:spid="_x0000_s1026" o:spt="32" type="#_x0000_t32" style="position:absolute;left:0pt;margin-left:218.35pt;margin-top:17.95pt;height:0pt;width:19.5pt;z-index:251658240;mso-width-relative:page;mso-height-relative:page;" filled="f" stroked="t" coordsize="21600,21600" o:gfxdata="UEsDBAoAAAAAAIdO4kAAAAAAAAAAAAAAAAAEAAAAZHJzL1BLAwQUAAAACACHTuJAULBYt9kAAAAJ&#10;AQAADwAAAGRycy9kb3ducmV2LnhtbE2PTU/DMAyG70j8h8hI3Fg6tnWsNJ0EE6IXkNgQ4pg1polo&#10;nKrJvvj1GHGAo18/ev24XB59J/Y4RBdIwXiUgUBqgnHUKnjdPFzdgIhJk9FdIFRwwgjL6vys1IUJ&#10;B3rB/Tq1gksoFlqBTakvpIyNRa/jKPRIvPsIg9eJx6GVZtAHLvedvM6yXHrtiC9Y3eO9xeZzvfMK&#10;0ur9ZPO35m7hnjePT7n7qut6pdTlxTi7BZHwmP5g+NFndajYaRt2ZKLoFEwn+ZxRBZPZAgQD0/mM&#10;g+1vIKtS/v+g+gZQSwMEFAAAAAgAh07iQChfcYnTAQAAkQMAAA4AAABkcnMvZTJvRG9jLnhtbK1T&#10;TW8bIRC9V+p/QNzrtVdx2q68jiqn6SVtLSX9ARjYXVRg0IC963/fAX8kbW9VOSCGmXkz8x6s7iZn&#10;2UFjNOBbvpjNOdNegjK+b/mP54d3HziLSXglLHjd8qOO/G799s1qDI2uYQCrNDIC8bEZQ8uHlEJT&#10;VVEO2ok4g6A9OTtAJxKZ2FcKxUjozlb1fH5bjYAqIEgdI93en5x8XfC7Tsv0veuiTsy2nHpLZcey&#10;7/JerVei6VGEwchzG+IfunDCeCp6hboXSbA9mr+gnJEIEbo0k+Aq6DojdZmBplnM/5jmaRBBl1mI&#10;nBiuNMX/Byu/HbbIjGp5zZkXjiT6tE9QKrObTM8YYkNRG7/FPKCc/FN4BPkzMg+bQfhel+DnY6Dc&#10;Rc6ofkvJRgxUZDd+BUUxgvALV1OHLkMSC2wqkhyvkugpMUmX9c372yUJJy+uSjSXvIAxfdHgWD60&#10;PCYUph/SBrwn3QEXpYo4PMaUuxLNJSEX9fBgrC3yW8/Gln9c1suSEMEalZ05LGK/21hkB5EfUFll&#10;RPK8DkPYe1XAkjD2s1csFT4SGmLIap4rOK04s5r+ST6dWrL+zFem6ET2DtRxi9mdqSPdS+/nN5of&#10;1mu7RL38pPU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ULBYt9kAAAAJAQAADwAAAAAAAAABACAA&#10;AAAiAAAAZHJzL2Rvd25yZXYueG1sUEsBAhQAFAAAAAgAh07iQChfcYnTAQAAkQMAAA4AAAAAAAAA&#10;AQAgAAAAKAEAAGRycy9lMm9Eb2MueG1sUEsFBgAAAAAGAAYAWQEAAG0FAAAAAA==&#10;">
                <v:fill on="f" focussize="0,0"/>
                <v:stroke color="#000000" joinstyle="round" endarrow="block"/>
                <v:imagedata o:title=""/>
                <o:lock v:ext="edit" aspectratio="f"/>
              </v:shape>
            </w:pict>
          </mc:Fallback>
        </mc:AlternateContent>
      </w:r>
      <w:r>
        <w:rPr>
          <w:rFonts w:ascii="仿宋_GB2312" w:eastAsia="仿宋_GB2312"/>
          <w:bCs/>
          <w:sz w:val="30"/>
          <w:szCs w:val="30"/>
        </w:rPr>
        <mc:AlternateContent>
          <mc:Choice Requires="wps">
            <w:drawing>
              <wp:anchor distT="0" distB="0" distL="114300" distR="114300" simplePos="0" relativeHeight="251659264" behindDoc="0" locked="0" layoutInCell="1" allowOverlap="1">
                <wp:simplePos x="0" y="0"/>
                <wp:positionH relativeFrom="column">
                  <wp:posOffset>1734820</wp:posOffset>
                </wp:positionH>
                <wp:positionV relativeFrom="paragraph">
                  <wp:posOffset>208915</wp:posOffset>
                </wp:positionV>
                <wp:extent cx="247650" cy="0"/>
                <wp:effectExtent l="9525" t="55245" r="19050" b="59055"/>
                <wp:wrapNone/>
                <wp:docPr id="1" name="AutoShape 3"/>
                <wp:cNvGraphicFramePr/>
                <a:graphic xmlns:a="http://schemas.openxmlformats.org/drawingml/2006/main">
                  <a:graphicData uri="http://schemas.microsoft.com/office/word/2010/wordprocessingShape">
                    <wps:wsp>
                      <wps:cNvCnPr>
                        <a:cxnSpLocks noChangeShapeType="1"/>
                      </wps:cNvCnPr>
                      <wps:spPr bwMode="auto">
                        <a:xfrm>
                          <a:off x="0" y="0"/>
                          <a:ext cx="247650" cy="0"/>
                        </a:xfrm>
                        <a:prstGeom prst="straightConnector1">
                          <a:avLst/>
                        </a:prstGeom>
                        <a:noFill/>
                        <a:ln w="9525">
                          <a:solidFill>
                            <a:srgbClr val="000000"/>
                          </a:solidFill>
                          <a:round/>
                          <a:tailEnd type="triangle" w="med" len="med"/>
                        </a:ln>
                      </wps:spPr>
                      <wps:bodyPr/>
                    </wps:wsp>
                  </a:graphicData>
                </a:graphic>
              </wp:anchor>
            </w:drawing>
          </mc:Choice>
          <mc:Fallback>
            <w:pict>
              <v:shape id="AutoShape 3" o:spid="_x0000_s1026" o:spt="32" type="#_x0000_t32" style="position:absolute;left:0pt;margin-left:136.6pt;margin-top:16.45pt;height:0pt;width:19.5pt;z-index:251659264;mso-width-relative:page;mso-height-relative:page;" filled="f" stroked="t" coordsize="21600,21600" o:gfxdata="UEsDBAoAAAAAAIdO4kAAAAAAAAAAAAAAAAAEAAAAZHJzL1BLAwQUAAAACACHTuJArYpMB9gAAAAJ&#10;AQAADwAAAGRycy9kb3ducmV2LnhtbE2PTUvEMBCG74L/IYzgzU2bQnW7TRd0EXtRcFfEY7bJNsFm&#10;Uprsl7/eEQ96nHce3nmmXp78wA5mii6ghHyWATPYBe2wl/C2eby5AxaTQq2GgEbC2URYNpcXtap0&#10;OOKrOaxTz6gEY6Uk2JTGivPYWeNVnIXRIO12YfIq0Tj1XE/qSOV+4CLLSu6VQ7pg1WgerOk+13sv&#10;Ia0+zrZ87+7n7mXz9Fy6r7ZtV1JeX+XZAlgyp/QHw48+qUNDTtuwRx3ZIEHcFoJQCYWYAyOgyAUF&#10;29+ANzX//0HzDVBLAwQUAAAACACHTuJAAqDppdMBAACRAwAADgAAAGRycy9lMm9Eb2MueG1srVNN&#10;jxMxDL0j8R+i3Om0hS4w6nSFuiyXha20yw9wk8xMRCaOnLTT/nuc9IMFbogcoji2n+33kuXtYXBi&#10;byha9I2cTaZSGK9QW9818vvz/ZsPUsQEXoNDbxp5NFHerl6/Wo6hNnPs0WlDgkF8rMfQyD6lUFdV&#10;VL0ZIE4wGM/OFmmAxCZ1lSYYGX1w1Xw6valGJB0IlYmRb+9OTrkq+G1rVHps22iScI3k3lLZqezb&#10;vFerJdQdQeitOrcB/9DFANZz0SvUHSQQO7J/QQ1WEUZs00ThUGHbWmXKDDzNbPrHNE89BFNmYXJi&#10;uNIU/x+s+rbfkLCatZPCw8ASfdolLJXF20zPGGLNUWu/oTygOvin8IDqRxQe1z34zpTg52Pg3FnO&#10;qH5LyUYMXGQ7fkXNMcD4hatDS0OGZBbEoUhyvEpiDkkovpy/e3+zYOHUxVVBfckLFNMXg4PIh0bG&#10;RGC7Pq3Re9YdaVaqwP4hptwV1JeEXNTjvXWuyO+8GBv5cTFflISIzurszGGRuu3akdhDfkBllRHZ&#10;8zKMcOd1AUtg3WevRSp8JLLMkDMyVxiMlsIZ/if5dGrJ+TNfmaIT2VvUxw1ld6aOdS+9n99oflgv&#10;7RL16yetf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tikwH2AAAAAkBAAAPAAAAAAAAAAEAIAAA&#10;ACIAAABkcnMvZG93bnJldi54bWxQSwECFAAUAAAACACHTuJAAqDppdMBAACRAwAADgAAAAAAAAAB&#10;ACAAAAAnAQAAZHJzL2Uyb0RvYy54bWxQSwUGAAAAAAYABgBZAQAAbAUAAAAA&#10;">
                <v:fill on="f" focussize="0,0"/>
                <v:stroke color="#000000" joinstyle="round" endarrow="block"/>
                <v:imagedata o:title=""/>
                <o:lock v:ext="edit" aspectratio="f"/>
              </v:shape>
            </w:pict>
          </mc:Fallback>
        </mc:AlternateContent>
      </w:r>
      <w:r>
        <w:rPr>
          <w:rFonts w:hint="eastAsia" w:ascii="仿宋_GB2312" w:eastAsia="仿宋_GB2312"/>
          <w:bCs/>
          <w:sz w:val="30"/>
          <w:szCs w:val="30"/>
        </w:rPr>
        <w:t xml:space="preserve">参加招聘宣讲会   投递简历   简历筛选   </w:t>
      </w:r>
      <w:r>
        <w:rPr>
          <w:rFonts w:ascii="仿宋_GB2312" w:eastAsia="仿宋_GB2312"/>
          <w:bCs/>
          <w:sz w:val="30"/>
          <w:szCs w:val="30"/>
        </w:rPr>
        <w:t>通知面试</w:t>
      </w:r>
      <w:r>
        <w:rPr>
          <w:rFonts w:hint="eastAsia" w:ascii="仿宋_GB2312" w:eastAsia="仿宋_GB2312"/>
          <w:bCs/>
          <w:sz w:val="30"/>
          <w:szCs w:val="30"/>
        </w:rPr>
        <w:t xml:space="preserve">  </w:t>
      </w:r>
      <w:r>
        <w:rPr>
          <w:rFonts w:ascii="仿宋_GB2312" w:eastAsia="仿宋_GB2312"/>
          <w:bCs/>
          <w:sz w:val="30"/>
          <w:szCs w:val="30"/>
        </w:rPr>
        <w:t xml:space="preserve"> </w:t>
      </w:r>
      <w:r>
        <w:rPr>
          <w:rFonts w:hint="eastAsia" w:ascii="仿宋_GB2312" w:eastAsia="仿宋_GB2312"/>
          <w:bCs/>
          <w:sz w:val="30"/>
          <w:szCs w:val="30"/>
        </w:rPr>
        <w:t>通知录用     签订协议。</w:t>
      </w:r>
    </w:p>
    <w:p>
      <w:pPr>
        <w:spacing w:line="560" w:lineRule="exact"/>
        <w:ind w:firstLine="600" w:firstLineChars="200"/>
        <w:rPr>
          <w:rFonts w:ascii="黑体" w:eastAsia="黑体"/>
          <w:bCs/>
          <w:sz w:val="30"/>
          <w:szCs w:val="30"/>
        </w:rPr>
      </w:pPr>
      <w:r>
        <w:rPr>
          <w:rFonts w:hint="eastAsia" w:ascii="黑体" w:eastAsia="黑体"/>
          <w:bCs/>
          <w:sz w:val="30"/>
          <w:szCs w:val="30"/>
        </w:rPr>
        <w:t>五、联系方式</w:t>
      </w:r>
    </w:p>
    <w:p>
      <w:pPr>
        <w:spacing w:line="560" w:lineRule="exact"/>
        <w:ind w:firstLine="600" w:firstLineChars="20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 xml:space="preserve">（一）公司官网：www.china-fuhai.com； </w:t>
      </w:r>
    </w:p>
    <w:p>
      <w:pPr>
        <w:spacing w:line="560" w:lineRule="exact"/>
        <w:ind w:firstLine="600" w:firstLineChars="20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（二）联系电话：</w:t>
      </w:r>
      <w:r>
        <w:rPr>
          <w:rFonts w:hint="eastAsia" w:ascii="仿宋_GB2312" w:hAnsi="仿宋_GB2312" w:eastAsia="仿宋_GB2312" w:cs="仿宋_GB2312"/>
          <w:bCs/>
          <w:sz w:val="30"/>
          <w:szCs w:val="30"/>
          <w:lang w:val="en-US" w:eastAsia="zh-CN"/>
        </w:rPr>
        <w:t>付</w:t>
      </w:r>
      <w:r>
        <w:rPr>
          <w:rFonts w:hint="eastAsia" w:ascii="仿宋_GB2312" w:hAnsi="仿宋_GB2312" w:eastAsia="仿宋_GB2312" w:cs="仿宋_GB2312"/>
          <w:bCs/>
          <w:sz w:val="30"/>
          <w:szCs w:val="30"/>
        </w:rPr>
        <w:t>经理，0546-6083667，1825464</w:t>
      </w:r>
      <w:r>
        <w:rPr>
          <w:rFonts w:hint="eastAsia" w:ascii="仿宋_GB2312" w:hAnsi="仿宋_GB2312" w:eastAsia="仿宋_GB2312" w:cs="仿宋_GB2312"/>
          <w:bCs/>
          <w:sz w:val="30"/>
          <w:szCs w:val="30"/>
          <w:lang w:val="en-US" w:eastAsia="zh-CN"/>
        </w:rPr>
        <w:t>6833</w:t>
      </w:r>
      <w:r>
        <w:rPr>
          <w:rFonts w:hint="eastAsia" w:ascii="仿宋_GB2312" w:hAnsi="仿宋_GB2312" w:eastAsia="仿宋_GB2312" w:cs="仿宋_GB2312"/>
          <w:bCs/>
          <w:sz w:val="30"/>
          <w:szCs w:val="30"/>
        </w:rPr>
        <w:t>；</w:t>
      </w:r>
    </w:p>
    <w:p>
      <w:pPr>
        <w:spacing w:line="560" w:lineRule="exact"/>
        <w:ind w:firstLine="600" w:firstLineChars="20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（三）联系地址：山东省东营市河口区黄河路37号</w:t>
      </w:r>
      <w:r>
        <w:rPr>
          <w:rFonts w:hint="eastAsia" w:ascii="仿宋_GB2312" w:hAnsi="仿宋_GB2312" w:eastAsia="仿宋_GB2312" w:cs="仿宋_GB2312"/>
          <w:bCs/>
          <w:sz w:val="30"/>
          <w:szCs w:val="30"/>
          <w:lang w:eastAsia="zh-CN"/>
        </w:rPr>
        <w:t>；</w:t>
      </w:r>
      <w:bookmarkStart w:id="0" w:name="_GoBack"/>
      <w:bookmarkEnd w:id="0"/>
    </w:p>
    <w:p>
      <w:pPr>
        <w:spacing w:line="560" w:lineRule="exact"/>
        <w:ind w:firstLine="600" w:firstLineChars="200"/>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（四）微信公众号：富海招聘</w:t>
      </w:r>
    </w:p>
    <w:p>
      <w:pPr>
        <w:spacing w:line="560" w:lineRule="exact"/>
        <w:ind w:firstLine="600" w:firstLineChars="200"/>
        <w:rPr>
          <w:rFonts w:ascii="仿宋_GB2312" w:hAnsi="仿宋_GB2312" w:eastAsia="仿宋_GB2312" w:cs="仿宋_GB2312"/>
          <w:bCs/>
          <w:sz w:val="30"/>
          <w:szCs w:val="30"/>
        </w:rPr>
      </w:pPr>
    </w:p>
    <w:p>
      <w:pPr>
        <w:spacing w:line="560" w:lineRule="exact"/>
        <w:rPr>
          <w:rFonts w:ascii="仿宋_GB2312" w:hAnsi="仿宋_GB2312" w:eastAsia="仿宋_GB2312" w:cs="仿宋_GB2312"/>
          <w:bCs/>
          <w:sz w:val="30"/>
          <w:szCs w:val="30"/>
        </w:rPr>
      </w:pPr>
    </w:p>
    <w:p>
      <w:pPr>
        <w:spacing w:line="560" w:lineRule="exact"/>
        <w:rPr>
          <w:rFonts w:ascii="仿宋_GB2312" w:hAnsi="仿宋_GB2312" w:eastAsia="仿宋_GB2312" w:cs="仿宋_GB2312"/>
          <w:bCs/>
          <w:sz w:val="30"/>
          <w:szCs w:val="30"/>
        </w:rPr>
      </w:pPr>
    </w:p>
    <w:p>
      <w:pPr>
        <w:spacing w:line="560" w:lineRule="exact"/>
        <w:ind w:firstLine="4500" w:firstLineChars="150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 xml:space="preserve">    二</w:t>
      </w:r>
      <w:r>
        <w:rPr>
          <w:rFonts w:hint="eastAsia" w:ascii="宋体" w:hAnsi="宋体" w:cs="宋体"/>
          <w:bCs/>
          <w:sz w:val="30"/>
          <w:szCs w:val="30"/>
        </w:rPr>
        <w:t>〇</w:t>
      </w:r>
      <w:r>
        <w:rPr>
          <w:rFonts w:hint="eastAsia" w:ascii="仿宋_GB2312" w:hAnsi="仿宋_GB2312" w:eastAsia="仿宋_GB2312" w:cs="仿宋_GB2312"/>
          <w:bCs/>
          <w:sz w:val="30"/>
          <w:szCs w:val="30"/>
        </w:rPr>
        <w:t>一</w:t>
      </w:r>
      <w:r>
        <w:rPr>
          <w:rFonts w:hint="eastAsia" w:ascii="仿宋_GB2312" w:hAnsi="仿宋_GB2312" w:eastAsia="仿宋_GB2312" w:cs="仿宋_GB2312"/>
          <w:bCs/>
          <w:sz w:val="30"/>
          <w:szCs w:val="30"/>
          <w:lang w:val="en-US" w:eastAsia="zh-CN"/>
        </w:rPr>
        <w:t>八</w:t>
      </w:r>
      <w:r>
        <w:rPr>
          <w:rFonts w:hint="eastAsia" w:ascii="仿宋_GB2312" w:hAnsi="仿宋_GB2312" w:eastAsia="仿宋_GB2312" w:cs="仿宋_GB2312"/>
          <w:bCs/>
          <w:sz w:val="30"/>
          <w:szCs w:val="30"/>
        </w:rPr>
        <w:t>年</w:t>
      </w:r>
      <w:r>
        <w:rPr>
          <w:rFonts w:hint="eastAsia" w:ascii="仿宋_GB2312" w:hAnsi="仿宋_GB2312" w:eastAsia="仿宋_GB2312" w:cs="仿宋_GB2312"/>
          <w:bCs/>
          <w:sz w:val="30"/>
          <w:szCs w:val="30"/>
          <w:lang w:val="en-US" w:eastAsia="zh-CN"/>
        </w:rPr>
        <w:t>三月九</w:t>
      </w:r>
      <w:r>
        <w:rPr>
          <w:rFonts w:hint="eastAsia" w:ascii="仿宋_GB2312" w:hAnsi="仿宋_GB2312" w:eastAsia="仿宋_GB2312" w:cs="仿宋_GB2312"/>
          <w:bCs/>
          <w:sz w:val="30"/>
          <w:szCs w:val="30"/>
        </w:rPr>
        <w:t>日</w:t>
      </w:r>
    </w:p>
    <w:p>
      <w:pPr>
        <w:spacing w:line="560" w:lineRule="exact"/>
        <w:rPr>
          <w:rFonts w:ascii="仿宋_GB2312" w:hAnsi="仿宋_GB2312" w:eastAsia="仿宋_GB2312" w:cs="仿宋_GB2312"/>
          <w:bCs/>
          <w:sz w:val="30"/>
          <w:szCs w:val="30"/>
        </w:rPr>
      </w:pPr>
    </w:p>
    <w:sectPr>
      <w:headerReference r:id="rId3" w:type="default"/>
      <w:pgSz w:w="12240" w:h="15840"/>
      <w:pgMar w:top="1701" w:right="1588" w:bottom="1701" w:left="1588"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720"/>
  <w:drawingGridHorizontalSpacing w:val="105"/>
  <w:drawingGridVerticalSpacing w:val="120"/>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762"/>
    <w:rsid w:val="00020A83"/>
    <w:rsid w:val="00061925"/>
    <w:rsid w:val="001169A2"/>
    <w:rsid w:val="00117AF9"/>
    <w:rsid w:val="001613F3"/>
    <w:rsid w:val="001A1743"/>
    <w:rsid w:val="001C238F"/>
    <w:rsid w:val="001E2207"/>
    <w:rsid w:val="002162FA"/>
    <w:rsid w:val="00264DDE"/>
    <w:rsid w:val="002926A9"/>
    <w:rsid w:val="002B5C6D"/>
    <w:rsid w:val="002E111D"/>
    <w:rsid w:val="003113AD"/>
    <w:rsid w:val="003251E5"/>
    <w:rsid w:val="00346E1E"/>
    <w:rsid w:val="00370665"/>
    <w:rsid w:val="00375AC1"/>
    <w:rsid w:val="003C3EC3"/>
    <w:rsid w:val="004049FB"/>
    <w:rsid w:val="0040610A"/>
    <w:rsid w:val="00411F2F"/>
    <w:rsid w:val="00414E08"/>
    <w:rsid w:val="00434912"/>
    <w:rsid w:val="00453C95"/>
    <w:rsid w:val="00467620"/>
    <w:rsid w:val="00490837"/>
    <w:rsid w:val="004A268A"/>
    <w:rsid w:val="004C3C9B"/>
    <w:rsid w:val="005739F7"/>
    <w:rsid w:val="005C1FF8"/>
    <w:rsid w:val="005C3D2D"/>
    <w:rsid w:val="005D0FBE"/>
    <w:rsid w:val="005E45CB"/>
    <w:rsid w:val="006262F2"/>
    <w:rsid w:val="00671508"/>
    <w:rsid w:val="006915E7"/>
    <w:rsid w:val="006C2872"/>
    <w:rsid w:val="00703EC2"/>
    <w:rsid w:val="00740A8A"/>
    <w:rsid w:val="00760E4C"/>
    <w:rsid w:val="00766DB9"/>
    <w:rsid w:val="00787FA4"/>
    <w:rsid w:val="007C4563"/>
    <w:rsid w:val="007D1FBD"/>
    <w:rsid w:val="007E2F9F"/>
    <w:rsid w:val="0081487D"/>
    <w:rsid w:val="00827088"/>
    <w:rsid w:val="0084491F"/>
    <w:rsid w:val="008923AE"/>
    <w:rsid w:val="008C020C"/>
    <w:rsid w:val="008D2918"/>
    <w:rsid w:val="008D53E3"/>
    <w:rsid w:val="008F52F4"/>
    <w:rsid w:val="00925179"/>
    <w:rsid w:val="00935FBD"/>
    <w:rsid w:val="00952464"/>
    <w:rsid w:val="00953D68"/>
    <w:rsid w:val="0099128E"/>
    <w:rsid w:val="009C5C64"/>
    <w:rsid w:val="009E360D"/>
    <w:rsid w:val="009E666D"/>
    <w:rsid w:val="00A21995"/>
    <w:rsid w:val="00A367E6"/>
    <w:rsid w:val="00A54ED4"/>
    <w:rsid w:val="00A94068"/>
    <w:rsid w:val="00AE4746"/>
    <w:rsid w:val="00B36BB3"/>
    <w:rsid w:val="00B67AC9"/>
    <w:rsid w:val="00B76BB0"/>
    <w:rsid w:val="00B81762"/>
    <w:rsid w:val="00BA5FD3"/>
    <w:rsid w:val="00BC52AD"/>
    <w:rsid w:val="00C352B5"/>
    <w:rsid w:val="00C67EDF"/>
    <w:rsid w:val="00C846CA"/>
    <w:rsid w:val="00CA79CD"/>
    <w:rsid w:val="00CE5C49"/>
    <w:rsid w:val="00D00EC7"/>
    <w:rsid w:val="00D11170"/>
    <w:rsid w:val="00D40ADF"/>
    <w:rsid w:val="00D84EB1"/>
    <w:rsid w:val="00DC67AF"/>
    <w:rsid w:val="00DE6A69"/>
    <w:rsid w:val="00E06511"/>
    <w:rsid w:val="00E14BEF"/>
    <w:rsid w:val="00E2532E"/>
    <w:rsid w:val="00E30627"/>
    <w:rsid w:val="00E63BA5"/>
    <w:rsid w:val="00E84694"/>
    <w:rsid w:val="00E877D8"/>
    <w:rsid w:val="00E90183"/>
    <w:rsid w:val="00EB39F3"/>
    <w:rsid w:val="00F06E0B"/>
    <w:rsid w:val="00F114A7"/>
    <w:rsid w:val="00F53145"/>
    <w:rsid w:val="00F8157C"/>
    <w:rsid w:val="00F97F26"/>
    <w:rsid w:val="00FA17D6"/>
    <w:rsid w:val="00FA33F3"/>
    <w:rsid w:val="00FB3A13"/>
    <w:rsid w:val="00FC484F"/>
    <w:rsid w:val="00FD508D"/>
    <w:rsid w:val="00FE46A5"/>
    <w:rsid w:val="00FE530D"/>
    <w:rsid w:val="170F5112"/>
    <w:rsid w:val="19E53EA8"/>
    <w:rsid w:val="1D525BAD"/>
    <w:rsid w:val="20A21E50"/>
    <w:rsid w:val="2E8D1575"/>
    <w:rsid w:val="2EA32F01"/>
    <w:rsid w:val="318F07F0"/>
    <w:rsid w:val="34FB6E32"/>
    <w:rsid w:val="396645EF"/>
    <w:rsid w:val="3E850BAA"/>
    <w:rsid w:val="44C70530"/>
    <w:rsid w:val="45FA6268"/>
    <w:rsid w:val="46123578"/>
    <w:rsid w:val="47387803"/>
    <w:rsid w:val="533D5655"/>
    <w:rsid w:val="594E20D7"/>
    <w:rsid w:val="5A4833F5"/>
    <w:rsid w:val="5B3B2837"/>
    <w:rsid w:val="5EE91EA9"/>
    <w:rsid w:val="61764AF2"/>
    <w:rsid w:val="68CD283F"/>
    <w:rsid w:val="695778DB"/>
    <w:rsid w:val="6996526D"/>
    <w:rsid w:val="6FBA187B"/>
    <w:rsid w:val="7A512548"/>
    <w:rsid w:val="7C8E560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beforeAutospacing="1" w:afterAutospacing="1"/>
      <w:jc w:val="left"/>
    </w:pPr>
    <w:rPr>
      <w:kern w:val="0"/>
      <w:sz w:val="24"/>
    </w:rPr>
  </w:style>
  <w:style w:type="character" w:styleId="6">
    <w:name w:val="FollowedHyperlink"/>
    <w:unhideWhenUsed/>
    <w:qFormat/>
    <w:uiPriority w:val="99"/>
    <w:rPr>
      <w:color w:val="0066CC"/>
      <w:u w:val="single"/>
    </w:rPr>
  </w:style>
  <w:style w:type="character" w:styleId="7">
    <w:name w:val="Hyperlink"/>
    <w:unhideWhenUsed/>
    <w:qFormat/>
    <w:uiPriority w:val="99"/>
    <w:rPr>
      <w:color w:val="0066CC"/>
      <w:u w:val="single"/>
    </w:rPr>
  </w:style>
  <w:style w:type="table" w:styleId="9">
    <w:name w:val="Table Grid"/>
    <w:basedOn w:val="8"/>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页眉 Char"/>
    <w:link w:val="3"/>
    <w:qFormat/>
    <w:uiPriority w:val="99"/>
    <w:rPr>
      <w:sz w:val="18"/>
      <w:szCs w:val="18"/>
    </w:rPr>
  </w:style>
  <w:style w:type="character" w:customStyle="1" w:styleId="11">
    <w:name w:val="页脚 Char"/>
    <w:link w:val="2"/>
    <w:qFormat/>
    <w:uiPriority w:val="99"/>
    <w:rPr>
      <w:sz w:val="18"/>
      <w:szCs w:val="18"/>
    </w:rPr>
  </w:style>
  <w:style w:type="character" w:customStyle="1" w:styleId="12">
    <w:name w:val="rec-status-desc"/>
    <w:basedOn w:val="5"/>
    <w:qFormat/>
    <w:uiPriority w:val="0"/>
  </w:style>
  <w:style w:type="character" w:customStyle="1" w:styleId="13">
    <w:name w:val="rec-volume"/>
    <w:basedOn w:val="5"/>
    <w:qFormat/>
    <w:uiPriority w:val="0"/>
  </w:style>
  <w:style w:type="character" w:customStyle="1" w:styleId="14">
    <w:name w:val="rec-time"/>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373</Words>
  <Characters>2129</Characters>
  <Lines>17</Lines>
  <Paragraphs>4</Paragraphs>
  <ScaleCrop>false</ScaleCrop>
  <LinksUpToDate>false</LinksUpToDate>
  <CharactersWithSpaces>2498</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2017-09-22T06:42:00Z</dcterms:created>
  <dc:creator>Administrator</dc:creator>
  <cp:lastModifiedBy>山</cp:lastModifiedBy>
  <cp:lastPrinted>2016-10-10T08:03:00Z</cp:lastPrinted>
  <dcterms:modified xsi:type="dcterms:W3CDTF">2018-03-09T01:49:43Z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